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5729F25C" w:rsidR="00791D83" w:rsidRDefault="00791D83" w:rsidP="00791D83">
      <w:pPr>
        <w:pStyle w:val="NoSpacing"/>
      </w:pPr>
    </w:p>
    <w:p w14:paraId="7AE94F6D" w14:textId="5729BF7C" w:rsidR="00A01840" w:rsidRDefault="00A01840" w:rsidP="00791D83">
      <w:pPr>
        <w:pStyle w:val="NoSpacing"/>
      </w:pPr>
    </w:p>
    <w:p w14:paraId="02FE3547" w14:textId="15E7FAC2" w:rsidR="00791D83" w:rsidRPr="008A6C3F" w:rsidRDefault="00926D26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DAE599" wp14:editId="34A38CB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55270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439" y="21388"/>
                <wp:lineTo x="214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8A6C3F">
        <w:rPr>
          <w:sz w:val="26"/>
          <w:szCs w:val="26"/>
          <w:lang w:val="el-GR"/>
        </w:rPr>
        <w:t xml:space="preserve">Δρομολόγιο: </w:t>
      </w:r>
      <w:r w:rsidR="00F44464" w:rsidRPr="008A6C3F">
        <w:rPr>
          <w:b/>
          <w:bCs/>
          <w:sz w:val="26"/>
          <w:szCs w:val="26"/>
          <w:lang w:val="el-GR"/>
        </w:rPr>
        <w:t xml:space="preserve">Λαύριο, Μύκονος, </w:t>
      </w:r>
      <w:proofErr w:type="spellStart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Πάτμος, </w:t>
      </w:r>
      <w:r w:rsidR="00242B97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Ρόδος, 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Ηράκλειο, Σαντορίνη,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708C7B9F" w14:textId="1087C8CB" w:rsidR="002D5635" w:rsidRPr="008A6C3F" w:rsidRDefault="002D5635" w:rsidP="00791D83">
      <w:pPr>
        <w:pStyle w:val="NoSpacing"/>
        <w:rPr>
          <w:sz w:val="26"/>
          <w:szCs w:val="26"/>
          <w:lang w:val="el-GR"/>
        </w:rPr>
      </w:pPr>
    </w:p>
    <w:p w14:paraId="76BE8EE2" w14:textId="5A43DD92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F44464" w:rsidRPr="008A6C3F">
        <w:rPr>
          <w:b/>
          <w:bCs/>
          <w:sz w:val="26"/>
          <w:szCs w:val="26"/>
        </w:rPr>
        <w:t>OLYMPIA</w:t>
      </w:r>
    </w:p>
    <w:p w14:paraId="0AF519BA" w14:textId="684916F9" w:rsidR="002D5635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926D26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0EBA17B8" w14:textId="5CF75AC4" w:rsidR="00BF3E0E" w:rsidRPr="008A6C3F" w:rsidRDefault="008F7383" w:rsidP="00791D83">
      <w:pPr>
        <w:pStyle w:val="NoSpacing"/>
        <w:rPr>
          <w:b/>
          <w:bCs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="002D5635" w:rsidRPr="008A6C3F">
        <w:rPr>
          <w:sz w:val="26"/>
          <w:szCs w:val="26"/>
          <w:lang w:val="el-GR"/>
        </w:rPr>
        <w:t xml:space="preserve">: </w:t>
      </w:r>
      <w:r w:rsidR="002D5635" w:rsidRPr="008A6C3F">
        <w:rPr>
          <w:b/>
          <w:bCs/>
          <w:sz w:val="26"/>
          <w:szCs w:val="26"/>
          <w:lang w:val="el-GR"/>
        </w:rPr>
        <w:t xml:space="preserve">Κάθε </w:t>
      </w:r>
      <w:r w:rsidR="00242B97">
        <w:rPr>
          <w:b/>
          <w:bCs/>
          <w:sz w:val="26"/>
          <w:szCs w:val="26"/>
          <w:lang w:val="el-GR"/>
        </w:rPr>
        <w:t>Δευτέρα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 xml:space="preserve">από 13 Μαρτίου </w:t>
      </w:r>
      <w:r w:rsidR="002D5635" w:rsidRPr="008A6C3F">
        <w:rPr>
          <w:b/>
          <w:bCs/>
          <w:sz w:val="26"/>
          <w:szCs w:val="26"/>
          <w:lang w:val="el-GR"/>
        </w:rPr>
        <w:t>έως</w:t>
      </w:r>
      <w:r w:rsidR="00F44464" w:rsidRPr="008A6C3F">
        <w:rPr>
          <w:b/>
          <w:bCs/>
          <w:sz w:val="26"/>
          <w:szCs w:val="26"/>
          <w:lang w:val="el-GR"/>
        </w:rPr>
        <w:t xml:space="preserve"> και </w:t>
      </w:r>
    </w:p>
    <w:p w14:paraId="6F560F1C" w14:textId="698A62E2" w:rsidR="002D5635" w:rsidRPr="008A6C3F" w:rsidRDefault="008F7383" w:rsidP="00791D83">
      <w:pPr>
        <w:pStyle w:val="NoSpacing"/>
        <w:rPr>
          <w:sz w:val="28"/>
          <w:szCs w:val="28"/>
          <w:lang w:val="el-GR"/>
        </w:rPr>
      </w:pPr>
      <w:r>
        <w:rPr>
          <w:b/>
          <w:bCs/>
          <w:sz w:val="26"/>
          <w:szCs w:val="26"/>
          <w:lang w:val="el-GR"/>
        </w:rPr>
        <w:t>13</w:t>
      </w:r>
      <w:r w:rsidR="002D5635" w:rsidRPr="008A6C3F">
        <w:rPr>
          <w:b/>
          <w:bCs/>
          <w:sz w:val="26"/>
          <w:szCs w:val="26"/>
          <w:lang w:val="el-GR"/>
        </w:rPr>
        <w:t xml:space="preserve"> </w:t>
      </w:r>
      <w:r w:rsidR="00CF492B" w:rsidRPr="008A6C3F">
        <w:rPr>
          <w:b/>
          <w:bCs/>
          <w:sz w:val="26"/>
          <w:szCs w:val="26"/>
          <w:lang w:val="el-GR"/>
        </w:rPr>
        <w:t>Νοεμβρίου</w:t>
      </w:r>
      <w:r w:rsidR="002D5635" w:rsidRPr="008A6C3F">
        <w:rPr>
          <w:b/>
          <w:bCs/>
          <w:sz w:val="26"/>
          <w:szCs w:val="26"/>
          <w:lang w:val="el-GR"/>
        </w:rPr>
        <w:t xml:space="preserve"> </w:t>
      </w:r>
      <w:r w:rsidR="004C2CE5" w:rsidRPr="008A6C3F">
        <w:rPr>
          <w:b/>
          <w:bCs/>
          <w:sz w:val="26"/>
          <w:szCs w:val="26"/>
          <w:lang w:val="el-GR"/>
        </w:rPr>
        <w:t>202</w:t>
      </w:r>
      <w:r>
        <w:rPr>
          <w:b/>
          <w:bCs/>
          <w:sz w:val="26"/>
          <w:szCs w:val="26"/>
          <w:lang w:val="el-GR"/>
        </w:rPr>
        <w:t>3</w:t>
      </w:r>
    </w:p>
    <w:p w14:paraId="721FE686" w14:textId="7533DE21" w:rsidR="00A56D23" w:rsidRDefault="00A56D23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3778DD5C" w14:textId="77777777" w:rsidR="008F7383" w:rsidRDefault="008F7383" w:rsidP="004C2CE5">
      <w:pPr>
        <w:pStyle w:val="NoSpacing"/>
        <w:rPr>
          <w:b/>
          <w:bCs/>
          <w:lang w:val="el-GR"/>
        </w:rPr>
      </w:pPr>
    </w:p>
    <w:p w14:paraId="61DD9C4F" w14:textId="6037F593" w:rsidR="008F7383" w:rsidRPr="00A56D23" w:rsidRDefault="008F7383" w:rsidP="004C2CE5">
      <w:pPr>
        <w:pStyle w:val="NoSpacing"/>
        <w:rPr>
          <w:rFonts w:cstheme="minorHAnsi"/>
          <w:sz w:val="12"/>
          <w:szCs w:val="12"/>
          <w:lang w:val="el-GR"/>
        </w:rPr>
      </w:pPr>
      <w:r w:rsidRPr="008A6C3F">
        <w:rPr>
          <w:b/>
          <w:bCs/>
          <w:lang w:val="el-GR"/>
        </w:rPr>
        <w:t>Αναλυτικό δρομολόγιο</w:t>
      </w:r>
    </w:p>
    <w:p w14:paraId="45C8A87C" w14:textId="3C999C2B" w:rsidR="008F1938" w:rsidRDefault="008F7383" w:rsidP="00AB283F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0EF2729" wp14:editId="6C0900AD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534285" cy="1612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1"/>
        <w:tblpPr w:leftFromText="180" w:rightFromText="180" w:bottomFromText="160" w:vertAnchor="page" w:horzAnchor="margin" w:tblpXSpec="right" w:tblpY="4516"/>
        <w:tblW w:w="6662" w:type="dxa"/>
        <w:tblLook w:val="04A0" w:firstRow="1" w:lastRow="0" w:firstColumn="1" w:lastColumn="0" w:noHBand="0" w:noVBand="1"/>
      </w:tblPr>
      <w:tblGrid>
        <w:gridCol w:w="1281"/>
        <w:gridCol w:w="2693"/>
        <w:gridCol w:w="1271"/>
        <w:gridCol w:w="1417"/>
      </w:tblGrid>
      <w:tr w:rsidR="008F7383" w14:paraId="0855E089" w14:textId="77777777" w:rsidTr="008F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002060"/>
            <w:hideMark/>
          </w:tcPr>
          <w:p w14:paraId="1970F40D" w14:textId="77777777" w:rsidR="008F7383" w:rsidRPr="00D349EE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693" w:type="dxa"/>
            <w:shd w:val="clear" w:color="auto" w:fill="002060"/>
            <w:hideMark/>
          </w:tcPr>
          <w:p w14:paraId="1D4F4DDF" w14:textId="77777777" w:rsidR="008F7383" w:rsidRPr="00D349EE" w:rsidRDefault="008F7383" w:rsidP="008F738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71" w:type="dxa"/>
            <w:shd w:val="clear" w:color="auto" w:fill="002060"/>
            <w:hideMark/>
          </w:tcPr>
          <w:p w14:paraId="066B31DE" w14:textId="77777777" w:rsidR="008F7383" w:rsidRPr="00D349EE" w:rsidRDefault="008F7383" w:rsidP="008F73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7" w:type="dxa"/>
            <w:shd w:val="clear" w:color="auto" w:fill="002060"/>
            <w:hideMark/>
          </w:tcPr>
          <w:p w14:paraId="5964BA8F" w14:textId="77777777" w:rsidR="008F7383" w:rsidRPr="00D349EE" w:rsidRDefault="008F7383" w:rsidP="008F73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8F7383" w14:paraId="660C3255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6193A06A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693" w:type="dxa"/>
            <w:vAlign w:val="center"/>
            <w:hideMark/>
          </w:tcPr>
          <w:p w14:paraId="777DE8A2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  <w:hideMark/>
          </w:tcPr>
          <w:p w14:paraId="34527ECC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BD719F8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7383" w14:paraId="39BB278D" w14:textId="77777777" w:rsidTr="008F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7CF3CEA7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693" w:type="dxa"/>
            <w:vAlign w:val="center"/>
          </w:tcPr>
          <w:p w14:paraId="304BCC76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71" w:type="dxa"/>
            <w:vAlign w:val="center"/>
            <w:hideMark/>
          </w:tcPr>
          <w:p w14:paraId="66EFA501" w14:textId="77777777" w:rsidR="008F7383" w:rsidRPr="00F24B11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/>
                <w:lang w:val="el-GR" w:bidi="ar-SA"/>
              </w:rPr>
              <w:t>8:00</w:t>
            </w:r>
          </w:p>
        </w:tc>
        <w:tc>
          <w:tcPr>
            <w:tcW w:w="1417" w:type="dxa"/>
            <w:vAlign w:val="center"/>
            <w:hideMark/>
          </w:tcPr>
          <w:p w14:paraId="129A04E9" w14:textId="77777777" w:rsidR="008F7383" w:rsidRPr="00F24B11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23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</w:tr>
      <w:tr w:rsidR="008F7383" w14:paraId="432B3EF2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5BE91BF2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693" w:type="dxa"/>
            <w:vAlign w:val="center"/>
          </w:tcPr>
          <w:p w14:paraId="18E1F6F2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(Αρχ</w:t>
            </w:r>
            <w:r>
              <w:rPr>
                <w:rFonts w:eastAsia="Times New Roman" w:cstheme="minorHAnsi"/>
                <w:b/>
                <w:bCs/>
                <w:lang w:val="el-GR" w:bidi="ar-SA"/>
              </w:rPr>
              <w:t>.</w:t>
            </w: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71" w:type="dxa"/>
            <w:vAlign w:val="center"/>
            <w:hideMark/>
          </w:tcPr>
          <w:p w14:paraId="2FCB6833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29692E8A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13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2FE36A17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6D1AA972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693" w:type="dxa"/>
            <w:vAlign w:val="center"/>
          </w:tcPr>
          <w:p w14:paraId="32E36AF5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Πάτμος</w:t>
            </w:r>
          </w:p>
        </w:tc>
        <w:tc>
          <w:tcPr>
            <w:tcW w:w="1271" w:type="dxa"/>
            <w:vAlign w:val="center"/>
            <w:hideMark/>
          </w:tcPr>
          <w:p w14:paraId="598B0C3F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4661C585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53CBAFA2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4269C7FA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693" w:type="dxa"/>
            <w:vAlign w:val="center"/>
          </w:tcPr>
          <w:p w14:paraId="6F299091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Ρόδος</w:t>
            </w:r>
          </w:p>
        </w:tc>
        <w:tc>
          <w:tcPr>
            <w:tcW w:w="1271" w:type="dxa"/>
            <w:vAlign w:val="center"/>
            <w:hideMark/>
          </w:tcPr>
          <w:p w14:paraId="289C0735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04CD51E7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7383" w14:paraId="67C1E7F0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481DB3D7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693" w:type="dxa"/>
            <w:vAlign w:val="center"/>
          </w:tcPr>
          <w:p w14:paraId="36891EB7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  <w:r>
              <w:rPr>
                <w:rFonts w:eastAsia="Times New Roman" w:cstheme="minorHAnsi"/>
                <w:b/>
                <w:bCs/>
                <w:lang w:val="el-GR" w:bidi="ar-SA"/>
              </w:rPr>
              <w:t>*</w:t>
            </w:r>
          </w:p>
        </w:tc>
        <w:tc>
          <w:tcPr>
            <w:tcW w:w="1271" w:type="dxa"/>
            <w:vAlign w:val="center"/>
            <w:hideMark/>
          </w:tcPr>
          <w:p w14:paraId="456C23A1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00</w:t>
            </w:r>
          </w:p>
        </w:tc>
        <w:tc>
          <w:tcPr>
            <w:tcW w:w="1417" w:type="dxa"/>
            <w:vAlign w:val="center"/>
            <w:hideMark/>
          </w:tcPr>
          <w:p w14:paraId="609FA676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3562C30E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14EBD1AF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693" w:type="dxa"/>
            <w:vAlign w:val="center"/>
          </w:tcPr>
          <w:p w14:paraId="35D7E4D7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71" w:type="dxa"/>
            <w:vAlign w:val="center"/>
            <w:hideMark/>
          </w:tcPr>
          <w:p w14:paraId="3672E3C6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7098EA55" w14:textId="77777777" w:rsidR="008F7383" w:rsidRPr="00F24B11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21:30</w:t>
            </w:r>
          </w:p>
        </w:tc>
      </w:tr>
      <w:tr w:rsidR="008F7383" w14:paraId="008F015D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28E1B373" w14:textId="77777777" w:rsidR="008F7383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693" w:type="dxa"/>
            <w:vAlign w:val="center"/>
          </w:tcPr>
          <w:p w14:paraId="75AE0190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</w:tcPr>
          <w:p w14:paraId="2F7EF9C2" w14:textId="77777777" w:rsidR="008F7383" w:rsidRPr="00841F17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06:00</w:t>
            </w:r>
          </w:p>
        </w:tc>
        <w:tc>
          <w:tcPr>
            <w:tcW w:w="1417" w:type="dxa"/>
            <w:vAlign w:val="center"/>
          </w:tcPr>
          <w:p w14:paraId="3540587A" w14:textId="77777777" w:rsidR="008F7383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0BCC1B63" w14:textId="18F5CF4A" w:rsidR="009274B0" w:rsidRDefault="008F7383" w:rsidP="008F1938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ind w:left="924" w:firstLine="2676"/>
        <w:rPr>
          <w:b/>
          <w:bCs/>
          <w:color w:val="002060"/>
          <w:lang w:val="el-GR"/>
        </w:rPr>
      </w:pPr>
      <w:r>
        <w:rPr>
          <w:noProof/>
        </w:rPr>
        <w:t xml:space="preserve"> </w:t>
      </w:r>
    </w:p>
    <w:p w14:paraId="7FCF6024" w14:textId="274B87A1" w:rsidR="00242B97" w:rsidRPr="00242B97" w:rsidRDefault="00242B97" w:rsidP="00D349EE">
      <w:pPr>
        <w:pStyle w:val="NoSpacing"/>
        <w:rPr>
          <w:b/>
          <w:bCs/>
          <w:sz w:val="18"/>
          <w:szCs w:val="18"/>
          <w:lang w:val="el-GR"/>
        </w:rPr>
      </w:pPr>
    </w:p>
    <w:p w14:paraId="49643491" w14:textId="77777777" w:rsidR="008F7383" w:rsidRDefault="008F7383" w:rsidP="00D349EE">
      <w:pPr>
        <w:pStyle w:val="NoSpacing"/>
        <w:rPr>
          <w:b/>
          <w:bCs/>
          <w:lang w:val="el-GR"/>
        </w:rPr>
      </w:pPr>
    </w:p>
    <w:p w14:paraId="019070E9" w14:textId="16849023" w:rsidR="008F7383" w:rsidRDefault="008F7383" w:rsidP="00D349EE">
      <w:pPr>
        <w:pStyle w:val="NoSpacing"/>
        <w:rPr>
          <w:b/>
          <w:bCs/>
          <w:lang w:val="el-GR"/>
        </w:rPr>
      </w:pPr>
    </w:p>
    <w:p w14:paraId="78D2F97A" w14:textId="531114E1" w:rsidR="008F7383" w:rsidRDefault="008F7383" w:rsidP="00D349EE">
      <w:pPr>
        <w:pStyle w:val="NoSpacing"/>
        <w:rPr>
          <w:b/>
          <w:bCs/>
          <w:lang w:val="el-GR"/>
        </w:rPr>
      </w:pPr>
    </w:p>
    <w:p w14:paraId="7EFAD2B8" w14:textId="4EC66E9A" w:rsidR="008F7383" w:rsidRDefault="008F7383" w:rsidP="00D349EE">
      <w:pPr>
        <w:pStyle w:val="NoSpacing"/>
        <w:rPr>
          <w:b/>
          <w:bCs/>
          <w:lang w:val="el-GR"/>
        </w:rPr>
      </w:pPr>
    </w:p>
    <w:p w14:paraId="0D62FE01" w14:textId="77777777" w:rsidR="008F7383" w:rsidRDefault="008F7383" w:rsidP="00D349EE">
      <w:pPr>
        <w:pStyle w:val="NoSpacing"/>
        <w:rPr>
          <w:b/>
          <w:bCs/>
          <w:lang w:val="el-GR"/>
        </w:rPr>
      </w:pPr>
    </w:p>
    <w:p w14:paraId="6FBADEE1" w14:textId="77777777" w:rsidR="008F7383" w:rsidRDefault="008F7383" w:rsidP="00D349EE">
      <w:pPr>
        <w:pStyle w:val="NoSpacing"/>
        <w:rPr>
          <w:b/>
          <w:bCs/>
          <w:lang w:val="el-GR"/>
        </w:rPr>
      </w:pPr>
    </w:p>
    <w:p w14:paraId="3C19F67D" w14:textId="7969B9BA" w:rsidR="008F7383" w:rsidRDefault="008F7383" w:rsidP="00D349EE">
      <w:pPr>
        <w:pStyle w:val="NoSpacing"/>
        <w:rPr>
          <w:b/>
          <w:bCs/>
          <w:lang w:val="el-GR"/>
        </w:rPr>
      </w:pPr>
    </w:p>
    <w:p w14:paraId="7AEDB0BE" w14:textId="77777777" w:rsidR="008F7383" w:rsidRPr="00FA6265" w:rsidRDefault="008F7383" w:rsidP="008F7383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9"/>
        <w:gridCol w:w="709"/>
        <w:gridCol w:w="709"/>
        <w:gridCol w:w="708"/>
        <w:gridCol w:w="709"/>
      </w:tblGrid>
      <w:tr w:rsidR="008F7383" w14:paraId="0C7F46BB" w14:textId="77777777" w:rsidTr="002862FF">
        <w:tc>
          <w:tcPr>
            <w:tcW w:w="704" w:type="dxa"/>
          </w:tcPr>
          <w:p w14:paraId="0BA26D6D" w14:textId="77777777" w:rsidR="008F7383" w:rsidRPr="00F002F8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ΜΑΡ</w:t>
            </w:r>
          </w:p>
        </w:tc>
        <w:tc>
          <w:tcPr>
            <w:tcW w:w="709" w:type="dxa"/>
          </w:tcPr>
          <w:p w14:paraId="714CA092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9" w:type="dxa"/>
          </w:tcPr>
          <w:p w14:paraId="23B9072A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ΜΑΙ</w:t>
            </w:r>
          </w:p>
        </w:tc>
        <w:tc>
          <w:tcPr>
            <w:tcW w:w="709" w:type="dxa"/>
          </w:tcPr>
          <w:p w14:paraId="0C548F22" w14:textId="3B369B5F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ΙΟΥΝ</w:t>
            </w:r>
          </w:p>
        </w:tc>
        <w:tc>
          <w:tcPr>
            <w:tcW w:w="709" w:type="dxa"/>
          </w:tcPr>
          <w:p w14:paraId="2303B9A9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9" w:type="dxa"/>
          </w:tcPr>
          <w:p w14:paraId="60F6459C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ΑΥΓ</w:t>
            </w:r>
          </w:p>
        </w:tc>
        <w:tc>
          <w:tcPr>
            <w:tcW w:w="709" w:type="dxa"/>
          </w:tcPr>
          <w:p w14:paraId="62D95ADF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ΣΕΠ</w:t>
            </w:r>
          </w:p>
        </w:tc>
        <w:tc>
          <w:tcPr>
            <w:tcW w:w="708" w:type="dxa"/>
          </w:tcPr>
          <w:p w14:paraId="477FF7C0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ΟΚΤ</w:t>
            </w:r>
          </w:p>
        </w:tc>
        <w:tc>
          <w:tcPr>
            <w:tcW w:w="709" w:type="dxa"/>
          </w:tcPr>
          <w:p w14:paraId="13505951" w14:textId="77777777" w:rsidR="008F7383" w:rsidRPr="008A6C3F" w:rsidRDefault="008F7383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ΝΟΕ</w:t>
            </w:r>
          </w:p>
        </w:tc>
      </w:tr>
      <w:tr w:rsidR="008F7383" w14:paraId="376F09C8" w14:textId="77777777" w:rsidTr="002862FF">
        <w:tc>
          <w:tcPr>
            <w:tcW w:w="704" w:type="dxa"/>
            <w:shd w:val="clear" w:color="auto" w:fill="auto"/>
            <w:vAlign w:val="center"/>
          </w:tcPr>
          <w:p w14:paraId="09C9204B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FFFF00"/>
          </w:tcPr>
          <w:p w14:paraId="03E8A51B" w14:textId="67A0B248" w:rsidR="008F7383" w:rsidRPr="004A4669" w:rsidRDefault="004A4669" w:rsidP="002862F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6EF75B"/>
          </w:tcPr>
          <w:p w14:paraId="0F12B7B5" w14:textId="36606823" w:rsidR="008F7383" w:rsidRPr="004A4669" w:rsidRDefault="004A4669" w:rsidP="002862F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C1E4563" w14:textId="4044B8D3" w:rsidR="008F7383" w:rsidRPr="004A4669" w:rsidRDefault="004A4669" w:rsidP="002862F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058CE5E" w14:textId="2375137F" w:rsidR="008F7383" w:rsidRPr="004A4669" w:rsidRDefault="004A4669" w:rsidP="002862F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9F1B91A" w14:textId="5F99480C" w:rsidR="008F7383" w:rsidRPr="004A4669" w:rsidRDefault="004A4669" w:rsidP="002862FF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6E2D4" w14:textId="77624A7D" w:rsidR="008F7383" w:rsidRPr="004A4669" w:rsidRDefault="004A4669" w:rsidP="002862F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8A453" w14:textId="283993E7" w:rsidR="008F7383" w:rsidRPr="004A4669" w:rsidRDefault="004A4669" w:rsidP="002862F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ED4DEAB" w14:textId="32D73031" w:rsidR="008F7383" w:rsidRPr="004A4669" w:rsidRDefault="004A4669" w:rsidP="002862FF">
            <w:pPr>
              <w:pStyle w:val="NoSpacing"/>
              <w:jc w:val="center"/>
            </w:pPr>
            <w:r>
              <w:t>6*</w:t>
            </w:r>
          </w:p>
        </w:tc>
      </w:tr>
      <w:tr w:rsidR="008F7383" w14:paraId="2280ADA8" w14:textId="77777777" w:rsidTr="004A4669">
        <w:tc>
          <w:tcPr>
            <w:tcW w:w="704" w:type="dxa"/>
            <w:shd w:val="clear" w:color="auto" w:fill="FFFF00"/>
            <w:vAlign w:val="center"/>
          </w:tcPr>
          <w:p w14:paraId="39D71852" w14:textId="2E72CCBE" w:rsidR="008F7383" w:rsidRPr="004A4669" w:rsidRDefault="004A4669" w:rsidP="002862FF">
            <w:pPr>
              <w:pStyle w:val="NoSpacing"/>
              <w:jc w:val="center"/>
            </w:pPr>
            <w:r>
              <w:t>13*</w:t>
            </w:r>
          </w:p>
        </w:tc>
        <w:tc>
          <w:tcPr>
            <w:tcW w:w="709" w:type="dxa"/>
            <w:shd w:val="clear" w:color="auto" w:fill="6EF75B"/>
          </w:tcPr>
          <w:p w14:paraId="0BCCD364" w14:textId="4409BBE0" w:rsidR="008F7383" w:rsidRPr="004A4669" w:rsidRDefault="004A4669" w:rsidP="002862F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4BD64F63" w14:textId="2B87DF3F" w:rsidR="008F7383" w:rsidRPr="004A4669" w:rsidRDefault="004A4669" w:rsidP="002862FF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77B05B4F" w14:textId="0BB05CCC" w:rsidR="008F7383" w:rsidRPr="004A4669" w:rsidRDefault="004A4669" w:rsidP="002862F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43ABD771" w14:textId="223D0639" w:rsidR="008F7383" w:rsidRPr="004A4669" w:rsidRDefault="004A4669" w:rsidP="002862F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3274D9B3" w14:textId="58AAF8A4" w:rsidR="008F7383" w:rsidRPr="004A4669" w:rsidRDefault="004A4669" w:rsidP="002862F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08517" w14:textId="2ADA28C9" w:rsidR="008F7383" w:rsidRPr="004A4669" w:rsidRDefault="004A4669" w:rsidP="002862F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E8DC3" w14:textId="43EBBCBD" w:rsidR="008F7383" w:rsidRPr="004A4669" w:rsidRDefault="004A4669" w:rsidP="002862F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8E1337A" w14:textId="046093DB" w:rsidR="008F7383" w:rsidRPr="004A4669" w:rsidRDefault="004A4669" w:rsidP="002862FF">
            <w:pPr>
              <w:pStyle w:val="NoSpacing"/>
              <w:jc w:val="center"/>
            </w:pPr>
            <w:r>
              <w:t>13*</w:t>
            </w:r>
          </w:p>
        </w:tc>
      </w:tr>
      <w:tr w:rsidR="008F7383" w14:paraId="135B7406" w14:textId="77777777" w:rsidTr="002862FF">
        <w:tc>
          <w:tcPr>
            <w:tcW w:w="704" w:type="dxa"/>
            <w:shd w:val="clear" w:color="auto" w:fill="FFFF00"/>
            <w:vAlign w:val="center"/>
          </w:tcPr>
          <w:p w14:paraId="3D92D3CF" w14:textId="4055CF5C" w:rsidR="008F7383" w:rsidRPr="004A4669" w:rsidRDefault="004A4669" w:rsidP="002862FF">
            <w:pPr>
              <w:pStyle w:val="NoSpacing"/>
              <w:jc w:val="center"/>
            </w:pPr>
            <w:r>
              <w:t>20*</w:t>
            </w:r>
          </w:p>
        </w:tc>
        <w:tc>
          <w:tcPr>
            <w:tcW w:w="709" w:type="dxa"/>
            <w:shd w:val="clear" w:color="auto" w:fill="6EF75B"/>
          </w:tcPr>
          <w:p w14:paraId="44D47481" w14:textId="0144221A" w:rsidR="008F7383" w:rsidRPr="004A4669" w:rsidRDefault="004A4669" w:rsidP="002862F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25865D92" w14:textId="1A6D0559" w:rsidR="008F7383" w:rsidRPr="004A4669" w:rsidRDefault="004A4669" w:rsidP="002862F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2EC06250" w14:textId="6BBCD651" w:rsidR="008F7383" w:rsidRPr="004A4669" w:rsidRDefault="004A4669" w:rsidP="002862FF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auto"/>
          </w:tcPr>
          <w:p w14:paraId="25885A5A" w14:textId="028AD66C" w:rsidR="008F7383" w:rsidRPr="004A4669" w:rsidRDefault="004A4669" w:rsidP="002862F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7AFEE683" w14:textId="68574797" w:rsidR="008F7383" w:rsidRPr="004A4669" w:rsidRDefault="004A4669" w:rsidP="002862F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1FDE3C28" w14:textId="659C7E6A" w:rsidR="008F7383" w:rsidRPr="004A4669" w:rsidRDefault="004A4669" w:rsidP="002862FF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69B15" w14:textId="3959E2D5" w:rsidR="008F7383" w:rsidRPr="004A4669" w:rsidRDefault="004A4669" w:rsidP="002862F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83239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8F7383" w14:paraId="379E9216" w14:textId="77777777" w:rsidTr="004A4669">
        <w:tc>
          <w:tcPr>
            <w:tcW w:w="704" w:type="dxa"/>
            <w:shd w:val="clear" w:color="auto" w:fill="FFFF00"/>
            <w:vAlign w:val="center"/>
          </w:tcPr>
          <w:p w14:paraId="367ED050" w14:textId="0765CE1C" w:rsidR="008F7383" w:rsidRPr="004A4669" w:rsidRDefault="004A4669" w:rsidP="002862FF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6EF75B"/>
          </w:tcPr>
          <w:p w14:paraId="3A0A6780" w14:textId="0F186827" w:rsidR="008F7383" w:rsidRPr="004A4669" w:rsidRDefault="004A4669" w:rsidP="002862F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3C317C8E" w14:textId="48B6E392" w:rsidR="008F7383" w:rsidRPr="004A4669" w:rsidRDefault="004A4669" w:rsidP="002862F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5184325F" w14:textId="5792C811" w:rsidR="008F7383" w:rsidRPr="004A4669" w:rsidRDefault="004A4669" w:rsidP="002862FF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</w:tcPr>
          <w:p w14:paraId="578D37BC" w14:textId="6782B42B" w:rsidR="008F7383" w:rsidRPr="004A4669" w:rsidRDefault="004A4669" w:rsidP="002862F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5F9FFD3D" w14:textId="10FBE4A1" w:rsidR="008F7383" w:rsidRPr="004A4669" w:rsidRDefault="004A4669" w:rsidP="002862F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17C2F41D" w14:textId="0CF82F41" w:rsidR="008F7383" w:rsidRPr="004A4669" w:rsidRDefault="004A4669" w:rsidP="002862F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2D1BC60B" w14:textId="2287478F" w:rsidR="008F7383" w:rsidRPr="004A4669" w:rsidRDefault="004A4669" w:rsidP="002862FF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94EBE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8F7383" w14:paraId="40A4E585" w14:textId="77777777" w:rsidTr="004A4669">
        <w:tc>
          <w:tcPr>
            <w:tcW w:w="704" w:type="dxa"/>
            <w:shd w:val="clear" w:color="auto" w:fill="auto"/>
            <w:vAlign w:val="center"/>
          </w:tcPr>
          <w:p w14:paraId="59571F45" w14:textId="6273EB4A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7E578CA1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7FBAF246" w14:textId="163311F6" w:rsidR="008F7383" w:rsidRPr="004A4669" w:rsidRDefault="004A4669" w:rsidP="002862FF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auto"/>
          </w:tcPr>
          <w:p w14:paraId="41ED55F3" w14:textId="3D257E88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4907221E" w14:textId="621BCD21" w:rsidR="008F7383" w:rsidRPr="004A4669" w:rsidRDefault="004A4669" w:rsidP="002862FF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4C6BF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394BCC" w14:textId="442E3EA1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541DDD13" w14:textId="3700C01F" w:rsidR="008F7383" w:rsidRPr="004A4669" w:rsidRDefault="004A4669" w:rsidP="002862FF">
            <w:pPr>
              <w:pStyle w:val="NoSpacing"/>
              <w:jc w:val="center"/>
            </w:pPr>
            <w:r>
              <w:t>30*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7076F" w14:textId="77777777" w:rsidR="008F7383" w:rsidRPr="005B5CF0" w:rsidRDefault="008F7383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11060200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2E8775F2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1DC48461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17175150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749715E5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632FD5FE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3D316F61" w14:textId="77777777" w:rsidR="008F7383" w:rsidRDefault="008F7383" w:rsidP="008F7383">
      <w:pPr>
        <w:pStyle w:val="NoSpacing"/>
        <w:rPr>
          <w:b/>
          <w:bCs/>
          <w:lang w:val="el-GR"/>
        </w:rPr>
      </w:pPr>
    </w:p>
    <w:p w14:paraId="2C8AAA9D" w14:textId="490FD6ED" w:rsidR="008F7383" w:rsidRPr="00C6682A" w:rsidRDefault="008F7383" w:rsidP="008F7383">
      <w:pPr>
        <w:pStyle w:val="NoSpacing"/>
        <w:rPr>
          <w:i/>
          <w:iCs/>
          <w:sz w:val="16"/>
          <w:szCs w:val="16"/>
          <w:lang w:val="el-GR"/>
        </w:rPr>
      </w:pPr>
      <w:r w:rsidRPr="00E376AD">
        <w:rPr>
          <w:b/>
          <w:bCs/>
          <w:i/>
          <w:iCs/>
          <w:sz w:val="16"/>
          <w:szCs w:val="16"/>
          <w:lang w:val="el-GR"/>
        </w:rPr>
        <w:t>*</w:t>
      </w:r>
      <w:r w:rsidRPr="00E376AD">
        <w:rPr>
          <w:i/>
          <w:iCs/>
          <w:sz w:val="16"/>
          <w:szCs w:val="16"/>
          <w:lang w:val="el-GR"/>
        </w:rPr>
        <w:t xml:space="preserve">Στις αναχωρήσεις </w:t>
      </w:r>
      <w:r w:rsidRPr="00E376AD">
        <w:rPr>
          <w:b/>
          <w:bCs/>
          <w:i/>
          <w:iCs/>
          <w:sz w:val="16"/>
          <w:szCs w:val="16"/>
          <w:lang w:val="el-GR"/>
        </w:rPr>
        <w:t>1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3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&amp;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20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Μαρτίου</w:t>
      </w:r>
      <w:r w:rsidRPr="00E376AD">
        <w:rPr>
          <w:i/>
          <w:iCs/>
          <w:sz w:val="16"/>
          <w:szCs w:val="16"/>
          <w:lang w:val="el-GR"/>
        </w:rPr>
        <w:t xml:space="preserve">, 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 xml:space="preserve">30 </w:t>
      </w:r>
      <w:r w:rsidRPr="004A4669">
        <w:rPr>
          <w:b/>
          <w:bCs/>
          <w:i/>
          <w:iCs/>
          <w:sz w:val="16"/>
          <w:szCs w:val="16"/>
          <w:lang w:val="el-GR"/>
        </w:rPr>
        <w:t xml:space="preserve">Οκτωβρίου,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6</w:t>
      </w:r>
      <w:r w:rsidRPr="004A4669">
        <w:rPr>
          <w:b/>
          <w:bCs/>
          <w:i/>
          <w:iCs/>
          <w:sz w:val="16"/>
          <w:szCs w:val="16"/>
          <w:lang w:val="el-GR"/>
        </w:rPr>
        <w:t xml:space="preserve"> &amp;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13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Νοεμβρίου</w:t>
      </w:r>
      <w:r w:rsidRPr="00E376AD">
        <w:rPr>
          <w:i/>
          <w:iCs/>
          <w:sz w:val="16"/>
          <w:szCs w:val="16"/>
          <w:lang w:val="el-GR"/>
        </w:rPr>
        <w:t>, το κρουαζιερόπλοιο δε θα προσεγγίσει το λιμάνι του Ηρακλείου</w:t>
      </w:r>
      <w:r>
        <w:rPr>
          <w:i/>
          <w:iCs/>
          <w:sz w:val="16"/>
          <w:szCs w:val="16"/>
          <w:lang w:val="el-GR"/>
        </w:rPr>
        <w:t xml:space="preserve"> και θα παραμείνει στη Σαντορίνη από τις 07.00πμ έως τις 20.00μμ.</w:t>
      </w:r>
      <w:r>
        <w:rPr>
          <w:i/>
          <w:iCs/>
          <w:sz w:val="16"/>
          <w:szCs w:val="16"/>
          <w:lang w:val="el-GR"/>
        </w:rPr>
        <w:br/>
      </w:r>
    </w:p>
    <w:p w14:paraId="5EC022B9" w14:textId="77777777" w:rsidR="008F7383" w:rsidRPr="00FA6265" w:rsidRDefault="008F7383" w:rsidP="008F7383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0C00FD4F" w14:textId="77777777" w:rsidR="008F7383" w:rsidRPr="00B13061" w:rsidRDefault="008F7383" w:rsidP="008F7383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536"/>
        <w:gridCol w:w="687"/>
        <w:gridCol w:w="1514"/>
        <w:gridCol w:w="1525"/>
        <w:gridCol w:w="1525"/>
        <w:gridCol w:w="1525"/>
        <w:gridCol w:w="1525"/>
      </w:tblGrid>
      <w:tr w:rsidR="008F7383" w:rsidRPr="00932D7A" w14:paraId="621C72E2" w14:textId="77777777" w:rsidTr="002862FF">
        <w:trPr>
          <w:trHeight w:val="312"/>
        </w:trPr>
        <w:tc>
          <w:tcPr>
            <w:tcW w:w="3223" w:type="dxa"/>
            <w:gridSpan w:val="2"/>
          </w:tcPr>
          <w:p w14:paraId="1D027AF8" w14:textId="77777777" w:rsidR="008F7383" w:rsidRPr="008A6C3F" w:rsidRDefault="008F7383" w:rsidP="002862FF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03344993" w14:textId="77777777" w:rsidR="008F7383" w:rsidRPr="00F002F8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F738D7" w14:textId="77777777" w:rsidR="008F7383" w:rsidRPr="00F002F8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24C3892" w14:textId="77777777" w:rsidR="008F7383" w:rsidRPr="0094122C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312306CE" w14:textId="77777777" w:rsidR="008F7383" w:rsidRPr="0094122C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27C8EC42" w14:textId="77777777" w:rsidR="008F7383" w:rsidRPr="00F002F8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6A15FD" w:rsidRPr="00932D7A" w14:paraId="4649507D" w14:textId="77777777" w:rsidTr="002862FF">
        <w:trPr>
          <w:trHeight w:val="277"/>
        </w:trPr>
        <w:tc>
          <w:tcPr>
            <w:tcW w:w="2536" w:type="dxa"/>
          </w:tcPr>
          <w:p w14:paraId="7870348F" w14:textId="77777777" w:rsidR="006A15FD" w:rsidRPr="008A6C3F" w:rsidRDefault="006A15FD" w:rsidP="006A15FD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039D3C0D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421579FE" w14:textId="1287FAD4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F5D2C0" w14:textId="31660B53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DA2E28D" w14:textId="1DC3F4DB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3CD9E3AF" w14:textId="0A4688F9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</w:t>
            </w:r>
            <w:r w:rsidRPr="008A6C3F">
              <w:rPr>
                <w:rFonts w:cstheme="minorHAnsi"/>
                <w:lang w:val="el-GR"/>
              </w:rPr>
              <w:t>99 €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0E008DB7" w14:textId="7C7CA5C6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399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5C66165A" w14:textId="77777777" w:rsidTr="002862FF">
        <w:trPr>
          <w:trHeight w:val="266"/>
        </w:trPr>
        <w:tc>
          <w:tcPr>
            <w:tcW w:w="2536" w:type="dxa"/>
          </w:tcPr>
          <w:p w14:paraId="05A1AF4B" w14:textId="77777777" w:rsidR="006A15FD" w:rsidRPr="008A6C3F" w:rsidRDefault="006A15FD" w:rsidP="006A15FD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26CE8898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C5AF979" w14:textId="0DEA8D3A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217106" w14:textId="0736F84E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2F9B366" w14:textId="1FD9238F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4063F6B8" w14:textId="52D92126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55FCC032" w14:textId="2AC0D605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112A45B5" w14:textId="77777777" w:rsidTr="002862FF">
        <w:trPr>
          <w:trHeight w:val="266"/>
        </w:trPr>
        <w:tc>
          <w:tcPr>
            <w:tcW w:w="2536" w:type="dxa"/>
          </w:tcPr>
          <w:p w14:paraId="537472E1" w14:textId="77777777" w:rsidR="006A15FD" w:rsidRPr="008A6C3F" w:rsidRDefault="006A15FD" w:rsidP="006A15FD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35680911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3309728" w14:textId="6C568F1E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A23CC66" w14:textId="5879520E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A652A10" w14:textId="2681B7D6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60B8CD1" w14:textId="24ECF419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4260213" w14:textId="0872B069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2EBE3524" w14:textId="77777777" w:rsidTr="002862FF">
        <w:trPr>
          <w:trHeight w:val="60"/>
        </w:trPr>
        <w:tc>
          <w:tcPr>
            <w:tcW w:w="2536" w:type="dxa"/>
            <w:shd w:val="clear" w:color="auto" w:fill="BFBFBF" w:themeFill="background1" w:themeFillShade="BF"/>
          </w:tcPr>
          <w:p w14:paraId="1DC0EA14" w14:textId="77777777" w:rsidR="006A15FD" w:rsidRPr="008A6C3F" w:rsidRDefault="006A15FD" w:rsidP="006A15FD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0CE0B305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34091AC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F213891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883FEA6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ACCF667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415ADEC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6A15FD" w:rsidRPr="00932D7A" w14:paraId="32C04637" w14:textId="77777777" w:rsidTr="002862FF">
        <w:trPr>
          <w:trHeight w:val="266"/>
        </w:trPr>
        <w:tc>
          <w:tcPr>
            <w:tcW w:w="2536" w:type="dxa"/>
          </w:tcPr>
          <w:p w14:paraId="520969F6" w14:textId="77777777" w:rsidR="006A15FD" w:rsidRPr="005B5CF0" w:rsidRDefault="006A15FD" w:rsidP="006A15FD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687" w:type="dxa"/>
          </w:tcPr>
          <w:p w14:paraId="4E32F1EF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1378496D" w14:textId="324D9B81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A587C8" w14:textId="5D500D89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156CB70" w14:textId="65755292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09C761FB" w14:textId="720ADDF0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410688F0" w14:textId="65B6EE1C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7559863E" w14:textId="77777777" w:rsidTr="002862FF">
        <w:trPr>
          <w:trHeight w:val="277"/>
        </w:trPr>
        <w:tc>
          <w:tcPr>
            <w:tcW w:w="2536" w:type="dxa"/>
          </w:tcPr>
          <w:p w14:paraId="15527C75" w14:textId="77777777" w:rsidR="006A15FD" w:rsidRPr="008A6C3F" w:rsidRDefault="006A15FD" w:rsidP="006A15FD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187D4B21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19B7F46D" w14:textId="28D6F8EC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128BF5B" w14:textId="7F8191C6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341E405" w14:textId="433B50C5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21D5651E" w14:textId="2F06AE5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294E673" w14:textId="1B41049C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16914918" w14:textId="77777777" w:rsidTr="002862FF">
        <w:trPr>
          <w:trHeight w:val="266"/>
        </w:trPr>
        <w:tc>
          <w:tcPr>
            <w:tcW w:w="2536" w:type="dxa"/>
          </w:tcPr>
          <w:p w14:paraId="067FE8C5" w14:textId="77777777" w:rsidR="006A15FD" w:rsidRPr="008A6C3F" w:rsidRDefault="006A15FD" w:rsidP="006A15FD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741184F0" w14:textId="7777777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F25CDF1" w14:textId="6F6A0653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5A7FFA" w14:textId="42CE1FEE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2EC6319" w14:textId="4FA889D9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1A2A8A6" w14:textId="12C30927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682CB7BA" w14:textId="594B2304" w:rsidR="006A15FD" w:rsidRPr="008A6C3F" w:rsidRDefault="006A15FD" w:rsidP="006A15FD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8F7383" w:rsidRPr="00932D7A" w14:paraId="573E12A9" w14:textId="77777777" w:rsidTr="002862FF">
        <w:trPr>
          <w:trHeight w:val="69"/>
        </w:trPr>
        <w:tc>
          <w:tcPr>
            <w:tcW w:w="2536" w:type="dxa"/>
            <w:shd w:val="clear" w:color="auto" w:fill="BFBFBF" w:themeFill="background1" w:themeFillShade="BF"/>
          </w:tcPr>
          <w:p w14:paraId="5EADCE1F" w14:textId="77777777" w:rsidR="008F7383" w:rsidRPr="008A6C3F" w:rsidRDefault="008F7383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4CC96223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64C6C19D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7FE8944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AE4B864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382A120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56C4FCB" w14:textId="77777777" w:rsidR="008F7383" w:rsidRPr="008A6C3F" w:rsidRDefault="008F7383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C26D4" w:rsidRPr="00932D7A" w14:paraId="1540B955" w14:textId="77777777" w:rsidTr="002862FF">
        <w:trPr>
          <w:trHeight w:val="266"/>
        </w:trPr>
        <w:tc>
          <w:tcPr>
            <w:tcW w:w="2536" w:type="dxa"/>
          </w:tcPr>
          <w:p w14:paraId="035EB73D" w14:textId="77777777" w:rsidR="00CC26D4" w:rsidRPr="008A6C3F" w:rsidRDefault="00CC26D4" w:rsidP="00CC26D4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</w:p>
        </w:tc>
        <w:tc>
          <w:tcPr>
            <w:tcW w:w="687" w:type="dxa"/>
          </w:tcPr>
          <w:p w14:paraId="63A84A78" w14:textId="77777777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SJ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4A3DB6FC" w14:textId="76F0BB6D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A1AFC6" w14:textId="21633E65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1119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21E10AAF" w14:textId="4592F490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163A78D" w14:textId="6942F398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771FAD1A" w14:textId="062328B1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C26D4" w:rsidRPr="00932D7A" w14:paraId="1D5D84FE" w14:textId="77777777" w:rsidTr="002862FF">
        <w:trPr>
          <w:trHeight w:val="266"/>
        </w:trPr>
        <w:tc>
          <w:tcPr>
            <w:tcW w:w="2536" w:type="dxa"/>
          </w:tcPr>
          <w:p w14:paraId="6F12A128" w14:textId="77777777" w:rsidR="00CC26D4" w:rsidRPr="008A6C3F" w:rsidRDefault="00CC26D4" w:rsidP="00CC26D4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687" w:type="dxa"/>
          </w:tcPr>
          <w:p w14:paraId="38BD6CF9" w14:textId="77777777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60A6698" w14:textId="281486F8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1549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0EC2C3" w14:textId="21229F9E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1389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1952A21C" w14:textId="3EA785BE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1221DBE6" w14:textId="50C7250E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37FDC439" w14:textId="24027C85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C26D4" w:rsidRPr="00932D7A" w14:paraId="79729588" w14:textId="77777777" w:rsidTr="002862FF">
        <w:trPr>
          <w:trHeight w:val="266"/>
        </w:trPr>
        <w:tc>
          <w:tcPr>
            <w:tcW w:w="2536" w:type="dxa"/>
          </w:tcPr>
          <w:p w14:paraId="27C3C649" w14:textId="77777777" w:rsidR="00CC26D4" w:rsidRPr="008A6C3F" w:rsidRDefault="00CC26D4" w:rsidP="00CC26D4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687" w:type="dxa"/>
          </w:tcPr>
          <w:p w14:paraId="1C9AB956" w14:textId="77777777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6C4D169" w14:textId="32377950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1769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A299AF" w14:textId="16443375" w:rsidR="00CC26D4" w:rsidRPr="008A6C3F" w:rsidRDefault="006A15FD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1589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3EEC82F" w14:textId="36B03477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6A82856B" w14:textId="14713469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2C454B9D" w14:textId="3C435016" w:rsidR="00CC26D4" w:rsidRPr="008A6C3F" w:rsidRDefault="00CC26D4" w:rsidP="00CC26D4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 xml:space="preserve">1239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3BDF77E5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587872B" wp14:editId="5B594274">
                <wp:simplePos x="0" y="0"/>
                <wp:positionH relativeFrom="margin">
                  <wp:align>left</wp:align>
                </wp:positionH>
                <wp:positionV relativeFrom="paragraph">
                  <wp:posOffset>87734</wp:posOffset>
                </wp:positionV>
                <wp:extent cx="6885296" cy="85298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296" cy="85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B296" w14:textId="77777777" w:rsidR="008F7383" w:rsidRPr="00FA6265" w:rsidRDefault="008F7383" w:rsidP="008F73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510C134F" w14:textId="77777777" w:rsidR="008F7383" w:rsidRPr="00FA6265" w:rsidRDefault="008F7383" w:rsidP="008F7383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74DB057" w14:textId="0F39543A" w:rsidR="008F7383" w:rsidRPr="0043751D" w:rsidRDefault="008F7383" w:rsidP="008F738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CC26D4" w:rsidRPr="005244D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170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5A72CFFF" w14:textId="77777777" w:rsidR="008F7383" w:rsidRPr="00293E3E" w:rsidRDefault="008F7383" w:rsidP="008F7383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1A2540A" w14:textId="77777777" w:rsidR="008F7383" w:rsidRPr="00293E3E" w:rsidRDefault="008F7383" w:rsidP="008F7383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4B7EB469" w14:textId="77777777" w:rsidR="008F7383" w:rsidRPr="00293E3E" w:rsidRDefault="008F7383" w:rsidP="008F7383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8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542.15pt;height:67.1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" filled="f">
                <v:textbox>
                  <w:txbxContent>
                    <w:p w14:paraId="5C6CB296" w14:textId="77777777" w:rsidR="008F7383" w:rsidRPr="00FA6265" w:rsidRDefault="008F7383" w:rsidP="008F7383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510C134F" w14:textId="77777777" w:rsidR="008F7383" w:rsidRPr="00FA6265" w:rsidRDefault="008F7383" w:rsidP="008F7383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74DB057" w14:textId="0F39543A" w:rsidR="008F7383" w:rsidRPr="0043751D" w:rsidRDefault="008F7383" w:rsidP="008F7383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CC26D4" w:rsidRPr="005244D6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170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5A72CFFF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01A2540A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4B7EB469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75ED7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40CE1EFE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3E87DBA7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7D02664A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601B0FCE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93A3379" w14:textId="3C3A138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8D55013" w14:textId="1A0DBB60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574113" wp14:editId="096E865C">
                <wp:simplePos x="0" y="0"/>
                <wp:positionH relativeFrom="margin">
                  <wp:posOffset>-1270</wp:posOffset>
                </wp:positionH>
                <wp:positionV relativeFrom="paragraph">
                  <wp:posOffset>153670</wp:posOffset>
                </wp:positionV>
                <wp:extent cx="6859366" cy="77763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77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0380" w14:textId="7E3BEB9D" w:rsidR="008F7383" w:rsidRPr="005B5CF0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6A15FD" w:rsidRPr="006A15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499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="006A15FD" w:rsidRPr="006A15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389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17F2542" w14:textId="520B0F14" w:rsidR="008F7383" w:rsidRPr="005B5CF0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A15FD" w:rsidRPr="006A15FD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15C53410" w14:textId="0E4604CB" w:rsidR="008F7383" w:rsidRPr="005B5CF0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A15FD" w:rsidRPr="006A15FD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169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496B108B" w14:textId="77777777" w:rsidR="008F7383" w:rsidRPr="005B5CF0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2B669052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18BB5BE1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66C08228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024E13F3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085FF579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6458CC2B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3D9D7AB5" w14:textId="77777777" w:rsidR="008F7383" w:rsidRPr="00D55051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D794E4A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11BD533D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272F0349" w14:textId="39C149DA" w:rsidR="008F7383" w:rsidRPr="00FC5AC9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6A15FD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169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519DBCDE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2B637714" w14:textId="77777777" w:rsidR="008F7383" w:rsidRPr="00B73E92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21DBF95B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0EF9EFA7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Μεταφορά με λεωφορείο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 </w:t>
                            </w:r>
                          </w:p>
                          <w:p w14:paraId="256B9A1C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2C03DFBE" w14:textId="77777777" w:rsidR="008F7383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2BAB3F03" w14:textId="77777777" w:rsidR="008F7383" w:rsidRPr="005B5CF0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639D1866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1CBDF7BE" w14:textId="77777777" w:rsidR="008F7383" w:rsidRPr="005130F6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ED60313" w14:textId="77777777" w:rsidR="008F7383" w:rsidRPr="005B5CF0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3340BB95" w14:textId="77777777" w:rsidR="008F7383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5690823" w14:textId="77777777" w:rsidR="008F7383" w:rsidRPr="004C5D21" w:rsidRDefault="008F7383" w:rsidP="008F738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396A0BB8" w14:textId="77777777" w:rsidR="008F7383" w:rsidRPr="004C5D21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345065FD" w14:textId="77777777" w:rsidR="008F7383" w:rsidRPr="004C5D21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0B657414" w14:textId="77777777" w:rsidR="008F7383" w:rsidRPr="004C5D21" w:rsidRDefault="008F7383" w:rsidP="008F738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4E22DC96" w14:textId="77777777" w:rsidR="008F7383" w:rsidRDefault="008F7383" w:rsidP="008F73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2A753E9C" w14:textId="77777777" w:rsidR="008F7383" w:rsidRPr="004C5D21" w:rsidRDefault="008F7383" w:rsidP="008F7383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6EEFB186" w14:textId="77777777" w:rsidR="008F7383" w:rsidRPr="004C5D21" w:rsidRDefault="008F7383" w:rsidP="008F738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7C7A4D20" w14:textId="77777777" w:rsidR="008F7383" w:rsidRPr="004C5D21" w:rsidRDefault="008F7383" w:rsidP="008F7383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4113" id="_x0000_s1027" type="#_x0000_t202" style="position:absolute;margin-left:-.1pt;margin-top:12.1pt;width:540.1pt;height:612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" filled="f" stroked="f">
                <v:textbox>
                  <w:txbxContent>
                    <w:p w14:paraId="56DC0380" w14:textId="7E3BEB9D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6A15FD" w:rsidRPr="006A15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499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="006A15FD" w:rsidRPr="006A15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389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17F2542" w14:textId="520B0F14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A15FD" w:rsidRPr="006A15FD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15C53410" w14:textId="0E4604CB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A15FD" w:rsidRPr="006A15FD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169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496B108B" w14:textId="77777777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XC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2B669052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18BB5BE1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66C08228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024E13F3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085FF579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6458CC2B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3D9D7AB5" w14:textId="77777777" w:rsidR="008F7383" w:rsidRPr="00D55051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D794E4A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11BD533D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272F0349" w14:textId="39C149DA" w:rsidR="008F7383" w:rsidRPr="00FC5AC9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6A15FD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169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519DBCDE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2B637714" w14:textId="77777777" w:rsidR="008F7383" w:rsidRPr="00B73E92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21DBF95B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0EF9EFA7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Μεταφορά με λεωφορείο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 </w:t>
                      </w:r>
                    </w:p>
                    <w:p w14:paraId="256B9A1C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2C03DFBE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2BAB3F03" w14:textId="77777777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639D1866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1CBDF7BE" w14:textId="77777777" w:rsidR="008F7383" w:rsidRPr="005130F6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ED60313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3340BB95" w14:textId="77777777" w:rsidR="008F7383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5690823" w14:textId="77777777" w:rsidR="008F7383" w:rsidRPr="004C5D21" w:rsidRDefault="008F7383" w:rsidP="008F738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396A0BB8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345065FD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0B657414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4E22DC96" w14:textId="77777777" w:rsidR="008F7383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2A753E9C" w14:textId="77777777" w:rsidR="008F7383" w:rsidRPr="004C5D21" w:rsidRDefault="008F7383" w:rsidP="008F7383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6EEFB186" w14:textId="77777777" w:rsidR="008F7383" w:rsidRPr="004C5D21" w:rsidRDefault="008F7383" w:rsidP="008F7383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7C7A4D20" w14:textId="77777777" w:rsidR="008F7383" w:rsidRPr="004C5D21" w:rsidRDefault="008F7383" w:rsidP="008F7383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D9556" w14:textId="2B5C96B1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906D311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5DC1050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66A9E70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34CEC34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190E659A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85C8F33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1EE7197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388946E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9B3336E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AC8B2EA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0849E70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ABF09F3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DED9242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E10C5CB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480D217" w14:textId="77777777" w:rsidR="008F7383" w:rsidRDefault="008F7383" w:rsidP="008F73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D0891EC" w14:textId="77777777" w:rsidR="008F7383" w:rsidRDefault="008F7383" w:rsidP="008F7383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CD2F534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4415D070" w14:textId="77777777" w:rsidR="008F7383" w:rsidRDefault="008F7383" w:rsidP="008F7383">
      <w:pPr>
        <w:pStyle w:val="NoSpacing"/>
        <w:rPr>
          <w:b/>
          <w:bCs/>
          <w:color w:val="002060"/>
          <w:lang w:val="el-GR"/>
        </w:rPr>
      </w:pPr>
    </w:p>
    <w:p w14:paraId="13EA3EF8" w14:textId="77777777" w:rsidR="008F7383" w:rsidRDefault="008F7383" w:rsidP="008F7383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1C7E6140" w14:textId="77777777" w:rsidR="008F7383" w:rsidRDefault="008F7383" w:rsidP="008F7383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7658DB9" w14:textId="77777777" w:rsidR="008F7383" w:rsidRPr="00AB283F" w:rsidRDefault="008F7383" w:rsidP="008F7383">
      <w:pPr>
        <w:rPr>
          <w:lang w:val="el-GR"/>
        </w:rPr>
      </w:pPr>
    </w:p>
    <w:p w14:paraId="4DFAB1E5" w14:textId="77777777" w:rsidR="008F7383" w:rsidRPr="00AB283F" w:rsidRDefault="008F7383" w:rsidP="008F7383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49D27D72" w14:textId="77777777" w:rsidR="008F7383" w:rsidRDefault="008F7383" w:rsidP="00D349EE">
      <w:pPr>
        <w:pStyle w:val="NoSpacing"/>
        <w:rPr>
          <w:b/>
          <w:bCs/>
          <w:color w:val="002060"/>
          <w:lang w:val="el-GR"/>
        </w:rPr>
      </w:pPr>
    </w:p>
    <w:p w14:paraId="4C46D63C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A2179D0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E5C3950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84B79A8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45053F3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1DE6659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A078B20" w14:textId="6C73975A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CA0C98F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F75F977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6067F53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B7CC4CD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D6E31D0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A696A0E" w14:textId="753DC90A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6A6D6A" w14:textId="4279DEED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8D21C7" w14:textId="417DE2DE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C1DE553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5D9879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BF01B77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AC0346E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FB901EE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1653E0F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6DB5F6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F9A79E7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3049D6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DC39CBA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2F9897A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D03F01C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5A12C6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BBE5A55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53FB63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66A5FE0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292591C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D2B1E36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F128C21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A02C321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4219C23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90CC5B1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C60FC99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B9ED600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8C4169C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607E30F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7A808DA" w14:textId="77777777" w:rsidR="00926D26" w:rsidRDefault="00926D26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FA6A572" w14:textId="3C5A5D92" w:rsidR="002D6ED8" w:rsidRPr="00B13061" w:rsidRDefault="00B13061" w:rsidP="00D349EE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sectPr w:rsidR="002D6ED8" w:rsidRPr="00B13061" w:rsidSect="00AB09DC">
      <w:headerReference w:type="default" r:id="rId10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314B2CB8" w:rsidR="00E0409A" w:rsidRDefault="005244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B03C9" wp14:editId="5A5157D7">
              <wp:simplePos x="0" y="0"/>
              <wp:positionH relativeFrom="column">
                <wp:posOffset>9525</wp:posOffset>
              </wp:positionH>
              <wp:positionV relativeFrom="paragraph">
                <wp:posOffset>-123825</wp:posOffset>
              </wp:positionV>
              <wp:extent cx="6846073" cy="614307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102" w14:textId="77777777" w:rsidR="00926D26" w:rsidRPr="00C07BFC" w:rsidRDefault="00926D26" w:rsidP="00926D26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44C1F6FA" w14:textId="77777777" w:rsidR="00926D26" w:rsidRPr="00AB283F" w:rsidRDefault="00926D26" w:rsidP="00926D26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602CB913" w14:textId="77777777" w:rsidR="00926D26" w:rsidRPr="00F24B11" w:rsidRDefault="00926D26" w:rsidP="00926D26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242B97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4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242B97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5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«Εικόνες του Αιγαίου»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B03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75pt;margin-top:-9.75pt;width:539.05pt;height:48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Esv7r3cAAAACQEAAA8AAAAAAAAAAAAAAAAAegQAAGRycy9kb3ducmV2Lnht&#10;bFBLBQYAAAAABAAEAPMAAACDBQAAAAA=&#10;" fillcolor="#1f3763 [1604]" stroked="f">
              <v:textbox>
                <w:txbxContent>
                  <w:p w14:paraId="49E08102" w14:textId="77777777" w:rsidR="00926D26" w:rsidRPr="00C07BFC" w:rsidRDefault="00926D26" w:rsidP="00926D26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44C1F6FA" w14:textId="77777777" w:rsidR="00926D26" w:rsidRPr="00AB283F" w:rsidRDefault="00926D26" w:rsidP="00926D26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602CB913" w14:textId="77777777" w:rsidR="00926D26" w:rsidRPr="00F24B11" w:rsidRDefault="00926D26" w:rsidP="00926D26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242B97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4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242B97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5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«Εικόνες του Αιγαίου»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873626" wp14:editId="2BFF574D">
          <wp:simplePos x="0" y="0"/>
          <wp:positionH relativeFrom="column">
            <wp:posOffset>6038850</wp:posOffset>
          </wp:positionH>
          <wp:positionV relativeFrom="paragraph">
            <wp:posOffset>-247650</wp:posOffset>
          </wp:positionV>
          <wp:extent cx="921385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2022970525">
    <w:abstractNumId w:val="6"/>
  </w:num>
  <w:num w:numId="9" w16cid:durableId="18745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9109B"/>
    <w:rsid w:val="000E2973"/>
    <w:rsid w:val="000E5D8A"/>
    <w:rsid w:val="000F4277"/>
    <w:rsid w:val="00101F11"/>
    <w:rsid w:val="00122ECD"/>
    <w:rsid w:val="001D4CCA"/>
    <w:rsid w:val="001F305B"/>
    <w:rsid w:val="001F39E9"/>
    <w:rsid w:val="002040A4"/>
    <w:rsid w:val="002217DB"/>
    <w:rsid w:val="00242B97"/>
    <w:rsid w:val="00252320"/>
    <w:rsid w:val="00293D6F"/>
    <w:rsid w:val="002B167D"/>
    <w:rsid w:val="002D5635"/>
    <w:rsid w:val="002D6ED8"/>
    <w:rsid w:val="0031085A"/>
    <w:rsid w:val="003722D0"/>
    <w:rsid w:val="003765E0"/>
    <w:rsid w:val="003856CF"/>
    <w:rsid w:val="003C5C33"/>
    <w:rsid w:val="003E5D5C"/>
    <w:rsid w:val="004012EA"/>
    <w:rsid w:val="00402E38"/>
    <w:rsid w:val="004205EE"/>
    <w:rsid w:val="00441E05"/>
    <w:rsid w:val="00443E9D"/>
    <w:rsid w:val="00494626"/>
    <w:rsid w:val="004A4669"/>
    <w:rsid w:val="004C2CE5"/>
    <w:rsid w:val="004E5FD4"/>
    <w:rsid w:val="00517908"/>
    <w:rsid w:val="005244D6"/>
    <w:rsid w:val="005541D7"/>
    <w:rsid w:val="005758E9"/>
    <w:rsid w:val="00587B27"/>
    <w:rsid w:val="005F172F"/>
    <w:rsid w:val="005F5406"/>
    <w:rsid w:val="005F7F62"/>
    <w:rsid w:val="006365D9"/>
    <w:rsid w:val="00647C6A"/>
    <w:rsid w:val="00650052"/>
    <w:rsid w:val="00664A83"/>
    <w:rsid w:val="006657BD"/>
    <w:rsid w:val="006A15F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A6C3F"/>
    <w:rsid w:val="008E474E"/>
    <w:rsid w:val="008F1938"/>
    <w:rsid w:val="008F4C19"/>
    <w:rsid w:val="008F7383"/>
    <w:rsid w:val="009139ED"/>
    <w:rsid w:val="00926D26"/>
    <w:rsid w:val="009274B0"/>
    <w:rsid w:val="00932D7A"/>
    <w:rsid w:val="009700DE"/>
    <w:rsid w:val="009813FA"/>
    <w:rsid w:val="00984C82"/>
    <w:rsid w:val="009D1682"/>
    <w:rsid w:val="009E07D5"/>
    <w:rsid w:val="00A01840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13D3E"/>
    <w:rsid w:val="00B23F76"/>
    <w:rsid w:val="00B31958"/>
    <w:rsid w:val="00BB2E8B"/>
    <w:rsid w:val="00BC5B47"/>
    <w:rsid w:val="00BF3E0E"/>
    <w:rsid w:val="00C07BFC"/>
    <w:rsid w:val="00C12A5A"/>
    <w:rsid w:val="00CA6F9A"/>
    <w:rsid w:val="00CC26D4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7061A"/>
    <w:rsid w:val="00D73B47"/>
    <w:rsid w:val="00D752DE"/>
    <w:rsid w:val="00D95307"/>
    <w:rsid w:val="00DA038E"/>
    <w:rsid w:val="00DB0FEB"/>
    <w:rsid w:val="00DE65C5"/>
    <w:rsid w:val="00DF5D9F"/>
    <w:rsid w:val="00E0409A"/>
    <w:rsid w:val="00E15573"/>
    <w:rsid w:val="00E90396"/>
    <w:rsid w:val="00EB6A30"/>
    <w:rsid w:val="00EF0B57"/>
    <w:rsid w:val="00F14EB8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2023-01-20T10:38:00Z</dcterms:created>
  <dcterms:modified xsi:type="dcterms:W3CDTF">2023-01-20T10:39:00Z</dcterms:modified>
</cp:coreProperties>
</file>