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C71D878" w:rsidR="00791D83" w:rsidRPr="00FC6FF8" w:rsidRDefault="00791D83" w:rsidP="00791D83">
      <w:pPr>
        <w:pStyle w:val="NoSpacing"/>
        <w:rPr>
          <w:lang w:val="el-GR"/>
        </w:rPr>
      </w:pPr>
    </w:p>
    <w:p w14:paraId="7AE94F6D" w14:textId="2DE5BF7D" w:rsidR="00A01840" w:rsidRDefault="00A01840" w:rsidP="00791D83">
      <w:pPr>
        <w:pStyle w:val="NoSpacing"/>
      </w:pPr>
    </w:p>
    <w:p w14:paraId="02FE3547" w14:textId="26DB7432" w:rsidR="00791D83" w:rsidRPr="00361C0D" w:rsidRDefault="00C32AA5" w:rsidP="00791D83">
      <w:pPr>
        <w:pStyle w:val="NoSpacing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B7779F2" wp14:editId="052852F2">
            <wp:simplePos x="0" y="0"/>
            <wp:positionH relativeFrom="margin">
              <wp:align>left</wp:align>
            </wp:positionH>
            <wp:positionV relativeFrom="paragraph">
              <wp:posOffset>53043</wp:posOffset>
            </wp:positionV>
            <wp:extent cx="2572385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435" y="21464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41" cy="161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361C0D">
        <w:rPr>
          <w:sz w:val="26"/>
          <w:szCs w:val="26"/>
          <w:lang w:val="el-GR"/>
        </w:rPr>
        <w:t>Δρομολόγιο:</w:t>
      </w:r>
      <w:r w:rsidR="00DB218B">
        <w:rPr>
          <w:sz w:val="26"/>
          <w:szCs w:val="26"/>
          <w:lang w:val="el-GR"/>
        </w:rPr>
        <w:t xml:space="preserve"> 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Ηράκλειο, Σαντορίνη, </w:t>
      </w:r>
      <w:r w:rsidR="00F44464" w:rsidRPr="00361C0D">
        <w:rPr>
          <w:b/>
          <w:bCs/>
          <w:sz w:val="26"/>
          <w:szCs w:val="26"/>
          <w:lang w:val="el-GR"/>
        </w:rPr>
        <w:t xml:space="preserve">Μύκονος, 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Μήλος</w:t>
      </w:r>
      <w:r w:rsidR="00F44464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361C0D" w:rsidRPr="00361C0D">
        <w:rPr>
          <w:b/>
          <w:bCs/>
          <w:sz w:val="26"/>
          <w:szCs w:val="26"/>
          <w:lang w:val="el-GR"/>
        </w:rPr>
        <w:t>Πειραιάς</w:t>
      </w:r>
      <w:r w:rsidR="00DB218B">
        <w:rPr>
          <w:b/>
          <w:bCs/>
          <w:sz w:val="26"/>
          <w:szCs w:val="26"/>
          <w:lang w:val="el-GR"/>
        </w:rPr>
        <w:t xml:space="preserve">, </w:t>
      </w:r>
      <w:r w:rsidR="00D73E69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Θεσσαλονίκη,</w:t>
      </w:r>
      <w:r w:rsidR="00D73E69" w:rsidRPr="00361C0D">
        <w:rPr>
          <w:b/>
          <w:bCs/>
          <w:sz w:val="26"/>
          <w:szCs w:val="26"/>
          <w:lang w:val="el-GR"/>
        </w:rPr>
        <w:t xml:space="preserve"> </w:t>
      </w:r>
      <w:proofErr w:type="spellStart"/>
      <w:r w:rsidR="00D73E69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D73E69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(Αρχ</w:t>
      </w:r>
      <w:r w:rsidR="00D73E69">
        <w:rPr>
          <w:rFonts w:eastAsia="Times New Roman" w:cstheme="minorHAnsi"/>
          <w:b/>
          <w:bCs/>
          <w:sz w:val="26"/>
          <w:szCs w:val="26"/>
          <w:lang w:val="el-GR" w:bidi="ar-SA"/>
        </w:rPr>
        <w:t>.</w:t>
      </w:r>
      <w:r w:rsidR="00D73E69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 Ρόδος,</w:t>
      </w:r>
      <w:r w:rsidR="00D73E6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Ηράκλειο</w:t>
      </w:r>
    </w:p>
    <w:p w14:paraId="708C7B9F" w14:textId="1087C8CB" w:rsidR="002D5635" w:rsidRPr="00361C0D" w:rsidRDefault="002D5635" w:rsidP="00791D83">
      <w:pPr>
        <w:pStyle w:val="NoSpacing"/>
        <w:rPr>
          <w:sz w:val="10"/>
          <w:szCs w:val="10"/>
          <w:lang w:val="el-GR"/>
        </w:rPr>
      </w:pPr>
    </w:p>
    <w:p w14:paraId="76BE8EE2" w14:textId="4999FE83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DD4B07">
        <w:rPr>
          <w:b/>
          <w:bCs/>
          <w:sz w:val="26"/>
          <w:szCs w:val="26"/>
        </w:rPr>
        <w:t>CRYSTAL</w:t>
      </w:r>
    </w:p>
    <w:p w14:paraId="0382A598" w14:textId="429CEA3E" w:rsidR="00C74977" w:rsidRPr="008A6C3F" w:rsidRDefault="00C74977" w:rsidP="00C74977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D73E69">
        <w:rPr>
          <w:rFonts w:eastAsia="Times New Roman" w:cstheme="minorHAnsi"/>
          <w:b/>
          <w:bCs/>
          <w:sz w:val="26"/>
          <w:szCs w:val="26"/>
          <w:lang w:val="el-GR" w:bidi="ar-SA"/>
        </w:rPr>
        <w:t>Ηράκλειο</w:t>
      </w:r>
    </w:p>
    <w:p w14:paraId="2505E110" w14:textId="77777777" w:rsidR="00F826BB" w:rsidRDefault="00C74977" w:rsidP="004C2CE5">
      <w:pPr>
        <w:pStyle w:val="NoSpacing"/>
        <w:rPr>
          <w:b/>
          <w:bCs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Pr="008A6C3F">
        <w:rPr>
          <w:sz w:val="26"/>
          <w:szCs w:val="26"/>
          <w:lang w:val="el-GR"/>
        </w:rPr>
        <w:t xml:space="preserve">: </w:t>
      </w:r>
      <w:r w:rsidRPr="00C74977">
        <w:rPr>
          <w:b/>
          <w:bCs/>
          <w:sz w:val="26"/>
          <w:szCs w:val="26"/>
          <w:lang w:val="el-GR"/>
        </w:rPr>
        <w:t xml:space="preserve">Κάθε </w:t>
      </w:r>
      <w:r w:rsidR="00D73E69">
        <w:rPr>
          <w:b/>
          <w:bCs/>
          <w:sz w:val="26"/>
          <w:szCs w:val="26"/>
          <w:lang w:val="el-GR"/>
        </w:rPr>
        <w:t>Τρίτη</w:t>
      </w:r>
      <w:r w:rsidRPr="00C74977">
        <w:rPr>
          <w:b/>
          <w:bCs/>
          <w:sz w:val="26"/>
          <w:szCs w:val="26"/>
          <w:lang w:val="el-GR"/>
        </w:rPr>
        <w:t xml:space="preserve"> από </w:t>
      </w:r>
      <w:r w:rsidR="002607D6">
        <w:rPr>
          <w:b/>
          <w:bCs/>
          <w:sz w:val="26"/>
          <w:szCs w:val="26"/>
          <w:lang w:val="el-GR"/>
        </w:rPr>
        <w:t>18</w:t>
      </w:r>
      <w:r w:rsidRPr="00C74977">
        <w:rPr>
          <w:b/>
          <w:bCs/>
          <w:sz w:val="26"/>
          <w:szCs w:val="26"/>
          <w:lang w:val="el-GR"/>
        </w:rPr>
        <w:t xml:space="preserve"> Απριλίου </w:t>
      </w:r>
    </w:p>
    <w:p w14:paraId="1B42A7B7" w14:textId="55B4A7FC" w:rsidR="00C74977" w:rsidRDefault="00F826BB" w:rsidP="004C2CE5">
      <w:pPr>
        <w:pStyle w:val="NoSpacing"/>
        <w:rPr>
          <w:b/>
          <w:bCs/>
          <w:lang w:val="el-GR"/>
        </w:rPr>
      </w:pP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 w:rsidR="00C74977" w:rsidRPr="00C74977">
        <w:rPr>
          <w:b/>
          <w:bCs/>
          <w:sz w:val="26"/>
          <w:szCs w:val="26"/>
          <w:lang w:val="el-GR"/>
        </w:rPr>
        <w:t xml:space="preserve">έως και </w:t>
      </w:r>
      <w:r w:rsidR="003A22CF">
        <w:rPr>
          <w:b/>
          <w:bCs/>
          <w:sz w:val="26"/>
          <w:szCs w:val="26"/>
          <w:lang w:val="el-GR"/>
        </w:rPr>
        <w:t>3</w:t>
      </w:r>
      <w:r w:rsidR="00C74977" w:rsidRPr="00C74977">
        <w:rPr>
          <w:b/>
          <w:bCs/>
          <w:sz w:val="26"/>
          <w:szCs w:val="26"/>
          <w:lang w:val="el-GR"/>
        </w:rPr>
        <w:t xml:space="preserve"> Οκτωβρίου 2023</w:t>
      </w:r>
      <w:r w:rsidR="00C74977" w:rsidRPr="00C74977">
        <w:rPr>
          <w:rFonts w:cstheme="minorHAnsi"/>
          <w:sz w:val="12"/>
          <w:szCs w:val="12"/>
          <w:lang w:val="el-GR"/>
        </w:rPr>
        <w:br/>
      </w:r>
    </w:p>
    <w:p w14:paraId="721FE686" w14:textId="114F4501" w:rsidR="00A56D23" w:rsidRDefault="00C74977" w:rsidP="004C2CE5">
      <w:pPr>
        <w:pStyle w:val="NoSpacing"/>
        <w:rPr>
          <w:rFonts w:cstheme="minorHAnsi"/>
          <w:sz w:val="12"/>
          <w:szCs w:val="12"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Pr="008A6C3F">
        <w:rPr>
          <w:b/>
          <w:bCs/>
          <w:lang w:val="el-GR"/>
        </w:rPr>
        <w:t>Αναλυτικό δρομολόγιο</w:t>
      </w:r>
    </w:p>
    <w:p w14:paraId="7651A8B4" w14:textId="183D1AFD" w:rsidR="00C74977" w:rsidRDefault="00C74977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501CB552" w14:textId="7B411E38" w:rsidR="00F17F9F" w:rsidRDefault="002F5AD0" w:rsidP="00C74977">
      <w:pPr>
        <w:pStyle w:val="NoSpacing"/>
        <w:jc w:val="right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6E0A7539" wp14:editId="0C31410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57145" cy="1811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4-Accent1"/>
        <w:tblpPr w:leftFromText="180" w:rightFromText="180" w:bottomFromText="160" w:vertAnchor="page" w:horzAnchor="margin" w:tblpXSpec="right" w:tblpY="4520"/>
        <w:tblW w:w="6662" w:type="dxa"/>
        <w:tblLook w:val="04A0" w:firstRow="1" w:lastRow="0" w:firstColumn="1" w:lastColumn="0" w:noHBand="0" w:noVBand="1"/>
      </w:tblPr>
      <w:tblGrid>
        <w:gridCol w:w="1270"/>
        <w:gridCol w:w="2746"/>
        <w:gridCol w:w="1236"/>
        <w:gridCol w:w="1410"/>
      </w:tblGrid>
      <w:tr w:rsidR="00C74977" w14:paraId="4DF80CDC" w14:textId="77777777" w:rsidTr="00C7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002060"/>
            <w:hideMark/>
          </w:tcPr>
          <w:p w14:paraId="0FD2F726" w14:textId="77777777" w:rsidR="00C74977" w:rsidRPr="00D349EE" w:rsidRDefault="00C74977" w:rsidP="00C74977">
            <w:pPr>
              <w:spacing w:line="240" w:lineRule="auto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746" w:type="dxa"/>
            <w:shd w:val="clear" w:color="auto" w:fill="002060"/>
            <w:hideMark/>
          </w:tcPr>
          <w:p w14:paraId="2B6031F7" w14:textId="77777777" w:rsidR="00C74977" w:rsidRPr="00D349EE" w:rsidRDefault="00C74977" w:rsidP="00C74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36" w:type="dxa"/>
            <w:shd w:val="clear" w:color="auto" w:fill="002060"/>
            <w:hideMark/>
          </w:tcPr>
          <w:p w14:paraId="24699D4F" w14:textId="77777777" w:rsidR="00C74977" w:rsidRPr="00D349EE" w:rsidRDefault="00C74977" w:rsidP="00C74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0" w:type="dxa"/>
            <w:shd w:val="clear" w:color="auto" w:fill="002060"/>
            <w:hideMark/>
          </w:tcPr>
          <w:p w14:paraId="02C4AB9B" w14:textId="77777777" w:rsidR="00C74977" w:rsidRPr="00D349EE" w:rsidRDefault="00C74977" w:rsidP="00C74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3A22CF" w14:paraId="2BEBD83E" w14:textId="77777777" w:rsidTr="003A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0122C91" w14:textId="06F2F57E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14447C96" w14:textId="31C08DA2" w:rsidR="003A22CF" w:rsidRPr="008A6C3F" w:rsidRDefault="003A22CF" w:rsidP="003A2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Ηράκλειο</w:t>
            </w:r>
          </w:p>
        </w:tc>
        <w:tc>
          <w:tcPr>
            <w:tcW w:w="1236" w:type="dxa"/>
            <w:vAlign w:val="center"/>
          </w:tcPr>
          <w:p w14:paraId="226C4C07" w14:textId="586268F8" w:rsidR="003A22CF" w:rsidRPr="008A6C3F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</w:tcPr>
          <w:p w14:paraId="2FAD7199" w14:textId="651633B2" w:rsidR="003A22CF" w:rsidRPr="008A6C3F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19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A22CF" w14:paraId="70792116" w14:textId="77777777" w:rsidTr="00C749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1D39E50" w14:textId="1FCA2389" w:rsidR="003A22C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7E6D2A17" w14:textId="28C1F984" w:rsidR="003A22CF" w:rsidRDefault="003A22CF" w:rsidP="003A22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36" w:type="dxa"/>
            <w:vAlign w:val="center"/>
          </w:tcPr>
          <w:p w14:paraId="3CF4BC0D" w14:textId="348E0004" w:rsidR="003A22CF" w:rsidRPr="00A372CB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16:30</w:t>
            </w:r>
          </w:p>
        </w:tc>
        <w:tc>
          <w:tcPr>
            <w:tcW w:w="1410" w:type="dxa"/>
            <w:vAlign w:val="center"/>
          </w:tcPr>
          <w:p w14:paraId="13DF16C4" w14:textId="46A362BC" w:rsidR="003A22CF" w:rsidRPr="008A6C3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  <w:tr w:rsidR="003A22CF" w14:paraId="4B0224B2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1F7388F" w14:textId="050F9281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746" w:type="dxa"/>
            <w:vAlign w:val="center"/>
          </w:tcPr>
          <w:p w14:paraId="3441B19F" w14:textId="417407ED" w:rsidR="003A22CF" w:rsidRPr="008A6C3F" w:rsidRDefault="003A22CF" w:rsidP="003A2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36" w:type="dxa"/>
            <w:vAlign w:val="center"/>
          </w:tcPr>
          <w:p w14:paraId="5747FB59" w14:textId="1B60D742" w:rsidR="003A22CF" w:rsidRPr="00F24B11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</w:tcPr>
          <w:p w14:paraId="7F827652" w14:textId="6D2EAF61" w:rsidR="003A22CF" w:rsidRPr="00F24B11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00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A22CF" w14:paraId="256ADAA4" w14:textId="77777777" w:rsidTr="00C749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2C4692B6" w14:textId="330B031E" w:rsidR="003A22C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746" w:type="dxa"/>
            <w:vAlign w:val="center"/>
          </w:tcPr>
          <w:p w14:paraId="2A7725FD" w14:textId="48835882" w:rsidR="003A22CF" w:rsidRPr="008A6C3F" w:rsidRDefault="003A22CF" w:rsidP="003A22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36" w:type="dxa"/>
            <w:vAlign w:val="center"/>
          </w:tcPr>
          <w:p w14:paraId="37F91488" w14:textId="71E75F6C" w:rsidR="003A22C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69957308" w14:textId="54449729" w:rsidR="003A22C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  <w:tr w:rsidR="003A22CF" w14:paraId="64544C38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F528C2A" w14:textId="6667F382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6CD7DEC7" w14:textId="3CF5A67B" w:rsidR="003A22CF" w:rsidRPr="008A6C3F" w:rsidRDefault="003A22CF" w:rsidP="003A2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36" w:type="dxa"/>
            <w:vAlign w:val="center"/>
          </w:tcPr>
          <w:p w14:paraId="308A68FD" w14:textId="370097DF" w:rsidR="003A22CF" w:rsidRPr="008A6C3F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</w:tcPr>
          <w:p w14:paraId="48EA6C94" w14:textId="2CCF2206" w:rsidR="003A22CF" w:rsidRPr="008A6C3F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02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A22CF" w14:paraId="754E6DBD" w14:textId="77777777" w:rsidTr="00C749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0FCF41C" w14:textId="21591C1E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532DA200" w14:textId="72987FDD" w:rsidR="003A22CF" w:rsidRPr="008A6C3F" w:rsidRDefault="003A22CF" w:rsidP="003A22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Μήλος</w:t>
            </w:r>
          </w:p>
        </w:tc>
        <w:tc>
          <w:tcPr>
            <w:tcW w:w="1236" w:type="dxa"/>
            <w:vAlign w:val="center"/>
          </w:tcPr>
          <w:p w14:paraId="18ACACF3" w14:textId="5F6E40BD" w:rsidR="003A22CF" w:rsidRPr="008A6C3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09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0" w:type="dxa"/>
            <w:vAlign w:val="center"/>
          </w:tcPr>
          <w:p w14:paraId="33739CAD" w14:textId="23B66B74" w:rsidR="003A22CF" w:rsidRPr="008A6C3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19:00</w:t>
            </w:r>
          </w:p>
        </w:tc>
      </w:tr>
      <w:tr w:rsidR="003A22CF" w14:paraId="0C7DE1DD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CD4E425" w14:textId="2844FDFC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</w:tcPr>
          <w:p w14:paraId="6E413C46" w14:textId="79D072E7" w:rsidR="003A22CF" w:rsidRPr="008A6C3F" w:rsidRDefault="003A22CF" w:rsidP="003A2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</w:tcPr>
          <w:p w14:paraId="57B24BA7" w14:textId="4CD4F743" w:rsidR="003A22CF" w:rsidRPr="00A372CB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07:00</w:t>
            </w:r>
          </w:p>
        </w:tc>
        <w:tc>
          <w:tcPr>
            <w:tcW w:w="1410" w:type="dxa"/>
            <w:vAlign w:val="center"/>
          </w:tcPr>
          <w:p w14:paraId="6E0D3A2E" w14:textId="211E9C2F" w:rsidR="003A22CF" w:rsidRPr="008A6C3F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17:00</w:t>
            </w:r>
          </w:p>
        </w:tc>
      </w:tr>
      <w:tr w:rsidR="003A22CF" w14:paraId="415BA1AA" w14:textId="77777777" w:rsidTr="00DB2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44E852B" w14:textId="2E5A7E8F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</w:tcPr>
          <w:p w14:paraId="6357B110" w14:textId="60B5F25D" w:rsidR="003A22CF" w:rsidRPr="008A6C3F" w:rsidRDefault="003A22CF" w:rsidP="003A22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Θεσσαλονίκη</w:t>
            </w:r>
          </w:p>
        </w:tc>
        <w:tc>
          <w:tcPr>
            <w:tcW w:w="1236" w:type="dxa"/>
            <w:vAlign w:val="center"/>
          </w:tcPr>
          <w:p w14:paraId="3630A8FA" w14:textId="3F1FBF63" w:rsidR="003A22CF" w:rsidRPr="008A6C3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10:00</w:t>
            </w:r>
          </w:p>
        </w:tc>
        <w:tc>
          <w:tcPr>
            <w:tcW w:w="1410" w:type="dxa"/>
            <w:vAlign w:val="center"/>
          </w:tcPr>
          <w:p w14:paraId="03CF4375" w14:textId="03F8CDEF" w:rsidR="003A22CF" w:rsidRPr="008A6C3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/>
                <w:lang w:val="el-GR" w:bidi="ar-SA"/>
              </w:rPr>
              <w:t>19:00</w:t>
            </w:r>
          </w:p>
        </w:tc>
      </w:tr>
      <w:tr w:rsidR="003A22CF" w14:paraId="1D3EFEEE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355DF81" w14:textId="12E4A656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746" w:type="dxa"/>
            <w:vAlign w:val="center"/>
          </w:tcPr>
          <w:p w14:paraId="406C5585" w14:textId="68CDED8F" w:rsidR="003A22CF" w:rsidRPr="008A6C3F" w:rsidRDefault="003A22CF" w:rsidP="003A22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(</w:t>
            </w: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Αρχ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Έφεσος)</w:t>
            </w:r>
          </w:p>
        </w:tc>
        <w:tc>
          <w:tcPr>
            <w:tcW w:w="1236" w:type="dxa"/>
            <w:vAlign w:val="center"/>
          </w:tcPr>
          <w:p w14:paraId="17199A53" w14:textId="3F1F6941" w:rsidR="003A22CF" w:rsidRPr="008A6C3F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13</w:t>
            </w:r>
            <w:r>
              <w:rPr>
                <w:rFonts w:eastAsia="Times New Roman"/>
                <w:lang w:val="el-GR"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4C420ECF" w14:textId="3315C871" w:rsidR="003A22CF" w:rsidRPr="008A6C3F" w:rsidRDefault="003A22CF" w:rsidP="003A22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/>
                <w:lang w:val="el-GR" w:bidi="ar-SA"/>
              </w:rPr>
              <w:t>19:00</w:t>
            </w:r>
          </w:p>
        </w:tc>
      </w:tr>
      <w:tr w:rsidR="003A22CF" w14:paraId="181EA6EA" w14:textId="77777777" w:rsidTr="00DB21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4C6C13D" w14:textId="5C3DA8C5" w:rsidR="003A22CF" w:rsidRPr="008A6C3F" w:rsidRDefault="003A22CF" w:rsidP="003A22C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27EFED4B" w14:textId="44806B14" w:rsidR="003A22CF" w:rsidRPr="008A6C3F" w:rsidRDefault="003A22CF" w:rsidP="003A22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Ηράκλειο</w:t>
            </w:r>
          </w:p>
        </w:tc>
        <w:tc>
          <w:tcPr>
            <w:tcW w:w="1236" w:type="dxa"/>
            <w:vAlign w:val="center"/>
          </w:tcPr>
          <w:p w14:paraId="3A6F2F90" w14:textId="0D98AC1F" w:rsidR="003A22CF" w:rsidRPr="008A6C3F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56806E91" w14:textId="5C8CCBAF" w:rsidR="003A22CF" w:rsidRPr="00F24B11" w:rsidRDefault="003A22CF" w:rsidP="003A22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4FEA92A6" w14:textId="66F5F40C" w:rsidR="00AB283F" w:rsidRDefault="00AB283F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4122A09" w14:textId="56B3D676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778D9BE" w14:textId="1245FE95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2444238" w14:textId="5C76B7EB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E970B32" w14:textId="239538CF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EB12728" w14:textId="5D37E7B8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44C174E8" w14:textId="4CAEB3CF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6534E9A2" w14:textId="39F3D919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5ADC677A" w14:textId="547A9387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7D7A8492" w14:textId="603CCFC5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7FBA6CA" w14:textId="6E046992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4C5F6AD5" w14:textId="77777777" w:rsidR="00C74977" w:rsidRPr="00FA6265" w:rsidRDefault="00C74977" w:rsidP="00C74977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8"/>
        <w:gridCol w:w="708"/>
        <w:gridCol w:w="708"/>
        <w:gridCol w:w="708"/>
        <w:gridCol w:w="708"/>
        <w:gridCol w:w="709"/>
      </w:tblGrid>
      <w:tr w:rsidR="00C74977" w14:paraId="2074C1EB" w14:textId="77777777" w:rsidTr="005A5B48">
        <w:tc>
          <w:tcPr>
            <w:tcW w:w="704" w:type="dxa"/>
          </w:tcPr>
          <w:p w14:paraId="03923A1C" w14:textId="467F2CA4" w:rsidR="00C74977" w:rsidRPr="00F002F8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ΑΠΡ</w:t>
            </w:r>
          </w:p>
        </w:tc>
        <w:tc>
          <w:tcPr>
            <w:tcW w:w="708" w:type="dxa"/>
          </w:tcPr>
          <w:p w14:paraId="2DB0DE9F" w14:textId="278B68CE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</w:t>
            </w:r>
            <w:r w:rsidR="00DB218B">
              <w:rPr>
                <w:b/>
                <w:bCs/>
                <w:lang w:val="el-GR"/>
              </w:rPr>
              <w:t>Ι</w:t>
            </w:r>
          </w:p>
        </w:tc>
        <w:tc>
          <w:tcPr>
            <w:tcW w:w="708" w:type="dxa"/>
          </w:tcPr>
          <w:p w14:paraId="23FB7A0D" w14:textId="378C15E4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</w:t>
            </w:r>
          </w:p>
        </w:tc>
        <w:tc>
          <w:tcPr>
            <w:tcW w:w="708" w:type="dxa"/>
          </w:tcPr>
          <w:p w14:paraId="55314E2D" w14:textId="08D87F44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ΙΟΥΛ</w:t>
            </w:r>
          </w:p>
        </w:tc>
        <w:tc>
          <w:tcPr>
            <w:tcW w:w="708" w:type="dxa"/>
          </w:tcPr>
          <w:p w14:paraId="1BCBF7A6" w14:textId="1AAABEBA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ΑΥΓ</w:t>
            </w:r>
          </w:p>
        </w:tc>
        <w:tc>
          <w:tcPr>
            <w:tcW w:w="708" w:type="dxa"/>
          </w:tcPr>
          <w:p w14:paraId="7AE86CF9" w14:textId="0E157878" w:rsidR="00C74977" w:rsidRPr="008A6C3F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ΣΕΠ</w:t>
            </w:r>
          </w:p>
        </w:tc>
        <w:tc>
          <w:tcPr>
            <w:tcW w:w="709" w:type="dxa"/>
          </w:tcPr>
          <w:p w14:paraId="41A98C36" w14:textId="2CE3CF79" w:rsidR="00C74977" w:rsidRPr="008A6C3F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ΟΚΤ</w:t>
            </w:r>
          </w:p>
        </w:tc>
      </w:tr>
      <w:tr w:rsidR="00C74977" w14:paraId="7D61D6BA" w14:textId="77777777" w:rsidTr="002C2A99">
        <w:tc>
          <w:tcPr>
            <w:tcW w:w="704" w:type="dxa"/>
            <w:shd w:val="clear" w:color="auto" w:fill="auto"/>
            <w:vAlign w:val="center"/>
          </w:tcPr>
          <w:p w14:paraId="3A402718" w14:textId="74436CE7" w:rsidR="00C74977" w:rsidRPr="005B5CF0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6EF75B"/>
          </w:tcPr>
          <w:p w14:paraId="7B28F7CF" w14:textId="0855DFCD" w:rsidR="00C74977" w:rsidRDefault="00FC6FF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B7E4EFB" w14:textId="469C97E3" w:rsidR="00C74977" w:rsidRDefault="00316A0E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952F379" w14:textId="242710FA" w:rsidR="00C74977" w:rsidRDefault="00316A0E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708" w:type="dxa"/>
            <w:shd w:val="clear" w:color="auto" w:fill="6EF75B"/>
          </w:tcPr>
          <w:p w14:paraId="4A288B93" w14:textId="0893266D" w:rsidR="00C74977" w:rsidRDefault="00316A0E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F67AA" w14:textId="3D3E9994" w:rsidR="00C74977" w:rsidRPr="006D7728" w:rsidRDefault="00FC6FF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02B88F65" w14:textId="6E5EF148" w:rsidR="00C74977" w:rsidRPr="006D7728" w:rsidRDefault="003A22CF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FC6FF8" w14:paraId="0BAA4222" w14:textId="77777777" w:rsidTr="002C2A99">
        <w:tc>
          <w:tcPr>
            <w:tcW w:w="704" w:type="dxa"/>
            <w:shd w:val="clear" w:color="auto" w:fill="FFFF00"/>
            <w:vAlign w:val="center"/>
          </w:tcPr>
          <w:p w14:paraId="2D7790E4" w14:textId="21DF8FB4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  <w:shd w:val="clear" w:color="auto" w:fill="6EF75B"/>
          </w:tcPr>
          <w:p w14:paraId="3C9989F6" w14:textId="1AC07FC5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69F216E1" w14:textId="2552B914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3F668D8B" w14:textId="28A27D91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8" w:type="dxa"/>
            <w:shd w:val="clear" w:color="auto" w:fill="6EF75B"/>
          </w:tcPr>
          <w:p w14:paraId="5EFE33D9" w14:textId="2FD12054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7EE70" w14:textId="59480550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31A07" w14:textId="59B5CA3C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FC6FF8" w14:paraId="3816CCC2" w14:textId="77777777" w:rsidTr="00316A0E">
        <w:tc>
          <w:tcPr>
            <w:tcW w:w="704" w:type="dxa"/>
            <w:shd w:val="clear" w:color="auto" w:fill="FFFF00"/>
            <w:vAlign w:val="center"/>
          </w:tcPr>
          <w:p w14:paraId="247A7EC3" w14:textId="160A1F4A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708" w:type="dxa"/>
            <w:shd w:val="clear" w:color="auto" w:fill="6EF75B"/>
          </w:tcPr>
          <w:p w14:paraId="0A5DD682" w14:textId="65F2561F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4CFB00A2" w14:textId="05D589DE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45424A9" w14:textId="090A5EBD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  <w:shd w:val="clear" w:color="auto" w:fill="6EF75B"/>
          </w:tcPr>
          <w:p w14:paraId="3B0F511E" w14:textId="6E0D5106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7D10D" w14:textId="4BDC69E0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BC1CE" w14:textId="77777777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FC6FF8" w14:paraId="38F02085" w14:textId="77777777" w:rsidTr="00316A0E">
        <w:tc>
          <w:tcPr>
            <w:tcW w:w="704" w:type="dxa"/>
            <w:shd w:val="clear" w:color="auto" w:fill="auto"/>
            <w:vAlign w:val="center"/>
          </w:tcPr>
          <w:p w14:paraId="1DB7BFB0" w14:textId="1D5F1E72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6EF75B"/>
          </w:tcPr>
          <w:p w14:paraId="7FFD7195" w14:textId="1CDECDE3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14:paraId="3B251D09" w14:textId="62CFB151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708" w:type="dxa"/>
            <w:shd w:val="clear" w:color="auto" w:fill="6EF75B"/>
          </w:tcPr>
          <w:p w14:paraId="2651C538" w14:textId="44941DBE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708" w:type="dxa"/>
            <w:shd w:val="clear" w:color="auto" w:fill="6EF75B"/>
          </w:tcPr>
          <w:p w14:paraId="2D41724B" w14:textId="478503C0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42CA794B" w14:textId="66609C47" w:rsidR="00FC6FF8" w:rsidRPr="006D7728" w:rsidRDefault="003A22CF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C081D" w14:textId="77777777" w:rsidR="00FC6FF8" w:rsidRPr="005B5CF0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FC6FF8" w14:paraId="6BA52593" w14:textId="77777777" w:rsidTr="00316A0E">
        <w:tc>
          <w:tcPr>
            <w:tcW w:w="704" w:type="dxa"/>
            <w:shd w:val="clear" w:color="auto" w:fill="auto"/>
            <w:vAlign w:val="center"/>
          </w:tcPr>
          <w:p w14:paraId="6F1C5C04" w14:textId="1120A770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</w:tcPr>
          <w:p w14:paraId="1D8A1A5F" w14:textId="2A8D4326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43B9124" w14:textId="38FB58CA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</w:tcPr>
          <w:p w14:paraId="052617F8" w14:textId="0145D280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</w:tcPr>
          <w:p w14:paraId="2E02ED28" w14:textId="3F03EAB5" w:rsidR="00FC6FF8" w:rsidRDefault="00FC6FF8" w:rsidP="00FC6FF8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0D9FE" w14:textId="63EBDE4A" w:rsidR="00FC6FF8" w:rsidRPr="006D7728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7C388" w14:textId="77777777" w:rsidR="00FC6FF8" w:rsidRPr="005B5CF0" w:rsidRDefault="00FC6FF8" w:rsidP="00FC6FF8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399F6B3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33E01B2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377DA325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69E89A54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1B758B3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0769A840" w14:textId="2CAA3DCC" w:rsidR="00C74977" w:rsidRDefault="00C74977" w:rsidP="00C74977">
      <w:pPr>
        <w:pStyle w:val="NoSpacing"/>
        <w:rPr>
          <w:b/>
          <w:bCs/>
          <w:lang w:val="el-GR"/>
        </w:rPr>
      </w:pPr>
    </w:p>
    <w:p w14:paraId="1A1177E1" w14:textId="77777777" w:rsidR="002C2A99" w:rsidRDefault="002C2A99" w:rsidP="00C74977">
      <w:pPr>
        <w:pStyle w:val="NoSpacing"/>
        <w:rPr>
          <w:b/>
          <w:bCs/>
          <w:lang w:val="el-GR"/>
        </w:rPr>
      </w:pPr>
    </w:p>
    <w:p w14:paraId="7B6863BB" w14:textId="77777777" w:rsidR="00C74977" w:rsidRPr="002C2A99" w:rsidRDefault="00C74977" w:rsidP="00C74977">
      <w:pPr>
        <w:pStyle w:val="NoSpacing"/>
        <w:rPr>
          <w:i/>
          <w:iCs/>
          <w:sz w:val="12"/>
          <w:szCs w:val="12"/>
          <w:lang w:val="el-GR"/>
        </w:rPr>
      </w:pPr>
    </w:p>
    <w:p w14:paraId="6EC6FDE2" w14:textId="77777777" w:rsidR="00C74977" w:rsidRPr="00FA6265" w:rsidRDefault="00C74977" w:rsidP="00C74977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6306B82B" w14:textId="77777777" w:rsidR="00C74977" w:rsidRPr="00B13061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417"/>
        <w:gridCol w:w="1559"/>
        <w:gridCol w:w="1560"/>
        <w:gridCol w:w="1344"/>
      </w:tblGrid>
      <w:tr w:rsidR="00C74977" w:rsidRPr="00932D7A" w14:paraId="76B5E67D" w14:textId="77777777" w:rsidTr="002862FF">
        <w:trPr>
          <w:trHeight w:val="312"/>
        </w:trPr>
        <w:tc>
          <w:tcPr>
            <w:tcW w:w="3539" w:type="dxa"/>
            <w:gridSpan w:val="2"/>
          </w:tcPr>
          <w:p w14:paraId="13D42736" w14:textId="77777777" w:rsidR="00C74977" w:rsidRPr="008A6C3F" w:rsidRDefault="00C74977" w:rsidP="002862FF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CF0F113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D310E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5C2FC70B" w14:textId="77777777" w:rsidR="00C74977" w:rsidRPr="0094122C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FF3CC7C" w14:textId="77777777" w:rsidR="00C74977" w:rsidRPr="0094122C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6F88292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C74977" w:rsidRPr="00932D7A" w14:paraId="2ECDC50E" w14:textId="77777777" w:rsidTr="002862FF">
        <w:trPr>
          <w:trHeight w:val="277"/>
        </w:trPr>
        <w:tc>
          <w:tcPr>
            <w:tcW w:w="2830" w:type="dxa"/>
          </w:tcPr>
          <w:p w14:paraId="3B58463E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448B83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74764C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30E53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F7957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D25534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BF9877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599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1BF57C5" w14:textId="77777777" w:rsidTr="002862FF">
        <w:trPr>
          <w:trHeight w:val="266"/>
        </w:trPr>
        <w:tc>
          <w:tcPr>
            <w:tcW w:w="2830" w:type="dxa"/>
          </w:tcPr>
          <w:p w14:paraId="270D7D2F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4B88386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3E8E0C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4C4F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A05A6F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5E39DD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82AEC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7ABCF615" w14:textId="77777777" w:rsidTr="002862FF">
        <w:trPr>
          <w:trHeight w:val="266"/>
        </w:trPr>
        <w:tc>
          <w:tcPr>
            <w:tcW w:w="2830" w:type="dxa"/>
          </w:tcPr>
          <w:p w14:paraId="6496EAAB" w14:textId="77777777" w:rsidR="00C74977" w:rsidRPr="008A6C3F" w:rsidRDefault="00C74977" w:rsidP="002862FF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0CB5949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D1313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F950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F65EA1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3D344F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B085BF8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4637CBA" w14:textId="77777777" w:rsidTr="002862FF">
        <w:trPr>
          <w:trHeight w:val="60"/>
        </w:trPr>
        <w:tc>
          <w:tcPr>
            <w:tcW w:w="2830" w:type="dxa"/>
            <w:shd w:val="clear" w:color="auto" w:fill="BFBFBF" w:themeFill="background1" w:themeFillShade="BF"/>
          </w:tcPr>
          <w:p w14:paraId="3E397E49" w14:textId="77777777" w:rsidR="00C74977" w:rsidRPr="008A6C3F" w:rsidRDefault="00C74977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EAE9DB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E49413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B1171A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741B1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E42ED7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689DAF85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74977" w:rsidRPr="00932D7A" w14:paraId="7B0A7D2C" w14:textId="77777777" w:rsidTr="002862FF">
        <w:trPr>
          <w:trHeight w:val="266"/>
        </w:trPr>
        <w:tc>
          <w:tcPr>
            <w:tcW w:w="2830" w:type="dxa"/>
          </w:tcPr>
          <w:p w14:paraId="77B4A543" w14:textId="77777777" w:rsidR="00C74977" w:rsidRPr="005B5CF0" w:rsidRDefault="00C74977" w:rsidP="002862FF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709" w:type="dxa"/>
          </w:tcPr>
          <w:p w14:paraId="6834F64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52D99E4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A978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2B4390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6FC048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D47801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F58E3" w14:paraId="66D7E70A" w14:textId="77777777" w:rsidTr="002862FF">
        <w:trPr>
          <w:trHeight w:val="266"/>
        </w:trPr>
        <w:tc>
          <w:tcPr>
            <w:tcW w:w="2830" w:type="dxa"/>
          </w:tcPr>
          <w:p w14:paraId="5C70FA5E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περ/</w:t>
            </w:r>
            <w:proofErr w:type="spellStart"/>
            <w:r>
              <w:rPr>
                <w:rFonts w:cstheme="minorHAnsi"/>
                <w:lang w:val="el-GR"/>
              </w:rPr>
              <w:t>σμένη</w:t>
            </w:r>
            <w:proofErr w:type="spellEnd"/>
            <w:r>
              <w:rPr>
                <w:rFonts w:cstheme="minorHAnsi"/>
                <w:lang w:val="el-GR"/>
              </w:rPr>
              <w:t xml:space="preserve"> θέα</w:t>
            </w:r>
          </w:p>
        </w:tc>
        <w:tc>
          <w:tcPr>
            <w:tcW w:w="709" w:type="dxa"/>
          </w:tcPr>
          <w:p w14:paraId="7541CBE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ΧΒΟ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8374782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F3F3C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2E9C81F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DAF39B0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644C21F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EBA31B8" w14:textId="77777777" w:rsidTr="002862FF">
        <w:trPr>
          <w:trHeight w:val="277"/>
        </w:trPr>
        <w:tc>
          <w:tcPr>
            <w:tcW w:w="2830" w:type="dxa"/>
          </w:tcPr>
          <w:p w14:paraId="03C76B4A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146BA4A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097E83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562F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FA3AD9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548A20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E7CA45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51919735" w14:textId="77777777" w:rsidTr="002862FF">
        <w:trPr>
          <w:trHeight w:val="266"/>
        </w:trPr>
        <w:tc>
          <w:tcPr>
            <w:tcW w:w="2830" w:type="dxa"/>
          </w:tcPr>
          <w:p w14:paraId="181220A9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0A7BAB7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56CE2C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5704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BF1D25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71E955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B5406B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54F0269A" w14:textId="77777777" w:rsidTr="002862FF">
        <w:trPr>
          <w:trHeight w:val="266"/>
        </w:trPr>
        <w:tc>
          <w:tcPr>
            <w:tcW w:w="2830" w:type="dxa"/>
          </w:tcPr>
          <w:p w14:paraId="59629D1A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3731C7E9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Χ</w:t>
            </w: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BCF0AD7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FA1BD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E4C9C03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1229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C09FC74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626AE0E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75C1A5BD" w14:textId="77777777" w:rsidTr="002862FF">
        <w:trPr>
          <w:trHeight w:val="69"/>
        </w:trPr>
        <w:tc>
          <w:tcPr>
            <w:tcW w:w="2830" w:type="dxa"/>
            <w:shd w:val="clear" w:color="auto" w:fill="BFBFBF" w:themeFill="background1" w:themeFillShade="BF"/>
          </w:tcPr>
          <w:p w14:paraId="1C05C1C8" w14:textId="77777777" w:rsidR="00C74977" w:rsidRPr="008A6C3F" w:rsidRDefault="00C74977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3E7D55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F079F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82FEC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773CA51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025529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42DEBB3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74977" w:rsidRPr="00932D7A" w14:paraId="7BF6C7B6" w14:textId="77777777" w:rsidTr="002862FF">
        <w:trPr>
          <w:trHeight w:val="266"/>
        </w:trPr>
        <w:tc>
          <w:tcPr>
            <w:tcW w:w="2830" w:type="dxa"/>
          </w:tcPr>
          <w:p w14:paraId="210045AA" w14:textId="77777777" w:rsidR="00C74977" w:rsidRPr="009F58E3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με μπαλκόνι</w:t>
            </w:r>
          </w:p>
        </w:tc>
        <w:tc>
          <w:tcPr>
            <w:tcW w:w="709" w:type="dxa"/>
          </w:tcPr>
          <w:p w14:paraId="227D43E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F58E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  <w:lang w:val="el-GR"/>
              </w:rPr>
              <w:t>Β</w:t>
            </w:r>
            <w:r w:rsidRPr="009F58E3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AA3CBA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825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1709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15A222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9DE31B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C267F8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B16925D" w14:textId="77777777" w:rsidTr="002862FF">
        <w:trPr>
          <w:trHeight w:val="266"/>
        </w:trPr>
        <w:tc>
          <w:tcPr>
            <w:tcW w:w="2830" w:type="dxa"/>
          </w:tcPr>
          <w:p w14:paraId="45588C60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Σουίτα </w:t>
            </w:r>
          </w:p>
        </w:tc>
        <w:tc>
          <w:tcPr>
            <w:tcW w:w="709" w:type="dxa"/>
          </w:tcPr>
          <w:p w14:paraId="710E111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3B1C358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FDEB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12FBA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F124D7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C3291F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92F4900" w14:textId="77777777" w:rsidTr="002862FF">
        <w:trPr>
          <w:trHeight w:val="266"/>
        </w:trPr>
        <w:tc>
          <w:tcPr>
            <w:tcW w:w="2830" w:type="dxa"/>
          </w:tcPr>
          <w:p w14:paraId="3BF9C743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709" w:type="dxa"/>
          </w:tcPr>
          <w:p w14:paraId="785E282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F36958A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3AC44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2129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9C4A471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7E540B8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0F09921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4246640" w14:textId="77777777" w:rsidTr="002862FF">
        <w:trPr>
          <w:trHeight w:val="266"/>
        </w:trPr>
        <w:tc>
          <w:tcPr>
            <w:tcW w:w="2830" w:type="dxa"/>
          </w:tcPr>
          <w:p w14:paraId="36105FD0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709" w:type="dxa"/>
          </w:tcPr>
          <w:p w14:paraId="2D388E1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DB01F4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2559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C207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2289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E652D1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A7FEBB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8822725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03735462" w14:textId="6B015625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2D52C79F" w14:textId="77777777" w:rsidR="00D46FAE" w:rsidRDefault="00D46FAE" w:rsidP="00C74977">
      <w:pPr>
        <w:pStyle w:val="NoSpacing"/>
        <w:rPr>
          <w:b/>
          <w:bCs/>
          <w:color w:val="002060"/>
          <w:lang w:val="el-GR"/>
        </w:rPr>
      </w:pPr>
    </w:p>
    <w:p w14:paraId="7A78F0BD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0CB88B42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1EC31B8D" w14:textId="6CB6376B" w:rsidR="00C74977" w:rsidRDefault="00C74977" w:rsidP="00C74977">
      <w:pPr>
        <w:pStyle w:val="NoSpacing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7736978" wp14:editId="2578F4F1">
                <wp:simplePos x="0" y="0"/>
                <wp:positionH relativeFrom="margin">
                  <wp:align>right</wp:align>
                </wp:positionH>
                <wp:positionV relativeFrom="paragraph">
                  <wp:posOffset>65597</wp:posOffset>
                </wp:positionV>
                <wp:extent cx="6816432" cy="8820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2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0306" w14:textId="77777777" w:rsidR="00C74977" w:rsidRPr="00FA6265" w:rsidRDefault="00C74977" w:rsidP="00C749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27A5C0D7" w14:textId="77777777" w:rsidR="00C74977" w:rsidRPr="00FA6265" w:rsidRDefault="00C74977" w:rsidP="00C74977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1CE3D2C5" w14:textId="4FB642EA" w:rsidR="00C74977" w:rsidRPr="0043751D" w:rsidRDefault="00C74977" w:rsidP="00C749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="002C2A99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240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6B19A129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1489AAE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6962D78E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6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55pt;margin-top:5.15pt;width:536.75pt;height:69.45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" filled="f">
                <v:textbox>
                  <w:txbxContent>
                    <w:p w14:paraId="10690306" w14:textId="77777777" w:rsidR="00C74977" w:rsidRPr="00FA6265" w:rsidRDefault="00C74977" w:rsidP="00C749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27A5C0D7" w14:textId="77777777" w:rsidR="00C74977" w:rsidRPr="00FA6265" w:rsidRDefault="00C74977" w:rsidP="00C74977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1CE3D2C5" w14:textId="4FB642EA" w:rsidR="00C74977" w:rsidRPr="0043751D" w:rsidRDefault="00C74977" w:rsidP="00C749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="002C2A99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240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6B19A129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51489AAE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6962D78E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4A905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53D4F284" w14:textId="6A2375D8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B6899A8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6DB847E" w14:textId="2598A9C8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E76B409" w14:textId="60AC700F" w:rsidR="00C74977" w:rsidRDefault="002C2A99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0EE8A7" wp14:editId="0B1A5462">
                <wp:simplePos x="0" y="0"/>
                <wp:positionH relativeFrom="margin">
                  <wp:align>right</wp:align>
                </wp:positionH>
                <wp:positionV relativeFrom="paragraph">
                  <wp:posOffset>173875</wp:posOffset>
                </wp:positionV>
                <wp:extent cx="6859366" cy="72676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267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5455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789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589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2B53EA04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4D456A94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289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7B168269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2995DD66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755B5137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B47AFE7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794499B8" w14:textId="77777777" w:rsidR="00C74977" w:rsidRPr="00D55051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7CA195C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7F3BBF73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322CA799" w14:textId="77777777" w:rsidR="00C74977" w:rsidRPr="00FC5AC9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289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76266621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3A29001E" w14:textId="77777777" w:rsidR="00C74977" w:rsidRPr="00B73E92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7B5BC80B" w14:textId="77777777" w:rsidR="002C2A99" w:rsidRDefault="002C2A99" w:rsidP="002C2A9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Μεταφορά με λεωφορείο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της εταιρίας από το πλοίο στη Χώρα της Μυκόνου </w:t>
                            </w:r>
                          </w:p>
                          <w:p w14:paraId="51F649C0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70783632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4EC40823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5178F6D0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28A16A12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536F0C94" w14:textId="77777777" w:rsidR="00C74977" w:rsidRPr="005130F6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66427403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1E6986A9" w14:textId="77777777" w:rsidR="00C74977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515FC6A1" w14:textId="77777777" w:rsidR="00C74977" w:rsidRPr="004C5D21" w:rsidRDefault="00C74977" w:rsidP="00C749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6253E208" w14:textId="77777777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47133B0D" w14:textId="77777777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47CD3C03" w14:textId="4584E89F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</w:t>
                            </w:r>
                            <w:r w:rsidR="002C2A99"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στο διαβατήριο ή την ταυτότητα ανάλογα με τη κρουαζιέρα που έχετε επιλέξει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27841436" w14:textId="77777777" w:rsidR="00C74977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11081C49" w14:textId="77777777" w:rsidR="00C74977" w:rsidRPr="004C5D21" w:rsidRDefault="00C74977" w:rsidP="00C74977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7F31C6A0" w14:textId="77777777" w:rsidR="00C74977" w:rsidRPr="004C5D21" w:rsidRDefault="00C74977" w:rsidP="00C7497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339DEB7A" w14:textId="77777777" w:rsidR="00C74977" w:rsidRPr="004C5D21" w:rsidRDefault="00C74977" w:rsidP="00C74977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E8A7" id="_x0000_s1027" type="#_x0000_t202" style="position:absolute;margin-left:488.9pt;margin-top:13.7pt;width:540.1pt;height:572.2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" filled="f" stroked="f">
                <v:textbox>
                  <w:txbxContent>
                    <w:p w14:paraId="0FF45455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789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589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2B53EA04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549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4D456A94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289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7B168269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2995DD66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755B5137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B47AFE7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794499B8" w14:textId="77777777" w:rsidR="00C74977" w:rsidRPr="00D55051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7CA195C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7F3BBF73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322CA799" w14:textId="77777777" w:rsidR="00C74977" w:rsidRPr="00FC5AC9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289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76266621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3A29001E" w14:textId="77777777" w:rsidR="00C74977" w:rsidRPr="00B73E92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7B5BC80B" w14:textId="77777777" w:rsidR="002C2A99" w:rsidRDefault="002C2A99" w:rsidP="002C2A99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Μεταφορά με λεωφορείο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της εταιρίας από το πλοίο στη Χώρα της Μυκόνου </w:t>
                      </w:r>
                    </w:p>
                    <w:p w14:paraId="51F649C0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70783632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4EC40823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5178F6D0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28A16A12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536F0C94" w14:textId="77777777" w:rsidR="00C74977" w:rsidRPr="005130F6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66427403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1E6986A9" w14:textId="77777777" w:rsidR="00C74977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515FC6A1" w14:textId="77777777" w:rsidR="00C74977" w:rsidRPr="004C5D21" w:rsidRDefault="00C74977" w:rsidP="00C749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6253E208" w14:textId="77777777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47133B0D" w14:textId="77777777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47CD3C03" w14:textId="4584E89F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</w:t>
                      </w:r>
                      <w:r w:rsidR="002C2A99"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στο διαβατήριο ή την ταυτότητα ανάλογα με τη κρουαζιέρα που έχετε επιλέξει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27841436" w14:textId="77777777" w:rsidR="00C74977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11081C49" w14:textId="77777777" w:rsidR="00C74977" w:rsidRPr="004C5D21" w:rsidRDefault="00C74977" w:rsidP="00C74977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7F31C6A0" w14:textId="77777777" w:rsidR="00C74977" w:rsidRPr="004C5D21" w:rsidRDefault="00C74977" w:rsidP="00C74977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339DEB7A" w14:textId="77777777" w:rsidR="00C74977" w:rsidRPr="004C5D21" w:rsidRDefault="00C74977" w:rsidP="00C74977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58413" w14:textId="77CBCE0B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208BFB1" w14:textId="6A00C560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4AECDA1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1137BA5" w14:textId="407EA1B1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37B40D5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A7307B1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9FAE2BF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8D9A43C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07E6C63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D10DC97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AEB89C4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910CFE4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5040D55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78055DC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16ACCE9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943E761" w14:textId="77777777" w:rsidR="00C74977" w:rsidRDefault="00C74977" w:rsidP="00C74977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D103AD1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72AD682C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018250C1" w14:textId="77777777" w:rsidR="00C74977" w:rsidRDefault="00C74977" w:rsidP="00C74977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F60BDD2" w14:textId="77777777" w:rsidR="00C74977" w:rsidRDefault="00C74977" w:rsidP="00C74977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3D5F2CF5" w14:textId="77777777" w:rsidR="00C74977" w:rsidRPr="00AB283F" w:rsidRDefault="00C74977" w:rsidP="00C74977">
      <w:pPr>
        <w:rPr>
          <w:lang w:val="el-GR"/>
        </w:rPr>
      </w:pPr>
    </w:p>
    <w:p w14:paraId="074C8833" w14:textId="77777777" w:rsidR="00C74977" w:rsidRPr="00AB283F" w:rsidRDefault="00C74977" w:rsidP="00C74977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1E11D429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2D04F53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2414F40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E8A0A2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B4C4C6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EDBFC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8E281E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9DF0C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A2BD4A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E8A890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3B884E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CF48D8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2A3F7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6D2810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4AC51CA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1CA9C5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4DC3C9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0CA91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C0DC4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1D09891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A79D2A9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E936B0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7D7F8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1930AC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125EB9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C8A98A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51CCDC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D1013E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CD95ED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A19101C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E8BFB7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B3B7A8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3D81C2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BDDEB6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15C95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5D973D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3E7851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19A9A82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3265A52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163E79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0B9341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C116B0C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446C07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F0F2A7" w14:textId="77777777" w:rsidR="00C74977" w:rsidRPr="00B13061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p w14:paraId="3099CDA8" w14:textId="77777777" w:rsidR="00C74977" w:rsidRDefault="00C74977" w:rsidP="00C74977">
      <w:pPr>
        <w:pStyle w:val="NoSpacing"/>
        <w:rPr>
          <w:b/>
          <w:bCs/>
          <w:sz w:val="18"/>
          <w:szCs w:val="18"/>
          <w:lang w:val="el-GR"/>
        </w:rPr>
      </w:pPr>
    </w:p>
    <w:p w14:paraId="206CFE6B" w14:textId="77777777" w:rsidR="00C74977" w:rsidRPr="00F17F9F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sectPr w:rsidR="00C74977" w:rsidRPr="00F17F9F" w:rsidSect="00AB09D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86E8" w14:textId="3C0C6AF0" w:rsidR="00AB09DC" w:rsidRPr="00C74977" w:rsidRDefault="00AB09DC" w:rsidP="00AB09D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D13A41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2050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8E" w14:textId="613EA108" w:rsidR="00C74977" w:rsidRDefault="00D13A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ABCE1" wp14:editId="49809337">
              <wp:simplePos x="0" y="0"/>
              <wp:positionH relativeFrom="column">
                <wp:posOffset>0</wp:posOffset>
              </wp:positionH>
              <wp:positionV relativeFrom="paragraph">
                <wp:posOffset>-168422</wp:posOffset>
              </wp:positionV>
              <wp:extent cx="6802754" cy="628014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754" cy="62801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0AFDD" w14:textId="77777777" w:rsidR="00C74977" w:rsidRPr="00AB283F" w:rsidRDefault="00C74977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37B79E02" w14:textId="42873C79" w:rsidR="00C74977" w:rsidRDefault="00C74977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7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8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Ειδυλλιακό Αιγαίο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</w:p>
                        <w:p w14:paraId="5927BCDB" w14:textId="3B47A32E" w:rsidR="00DB218B" w:rsidRPr="00F24B11" w:rsidRDefault="00DB218B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Επιβίβαση</w:t>
                          </w:r>
                          <w:r w:rsidR="002F5AD0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/αποβίβαση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 από </w:t>
                          </w:r>
                          <w:r w:rsidR="00D73E69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Ηράκλειο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ABC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3.25pt;width:535.65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" fillcolor="#1f3763 [1604]" stroked="f">
              <v:textbox style="mso-fit-shape-to-text:t">
                <w:txbxContent>
                  <w:p w14:paraId="4690AFDD" w14:textId="77777777" w:rsidR="00C74977" w:rsidRPr="00AB283F" w:rsidRDefault="00C74977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37B79E02" w14:textId="42873C79" w:rsidR="00C74977" w:rsidRDefault="00C74977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7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8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Ειδυλλιακό Αιγαίο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</w:p>
                  <w:p w14:paraId="5927BCDB" w14:textId="3B47A32E" w:rsidR="00DB218B" w:rsidRPr="00F24B11" w:rsidRDefault="00DB218B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Επιβίβαση</w:t>
                    </w:r>
                    <w:r w:rsidR="002F5AD0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/αποβίβαση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 από </w:t>
                    </w:r>
                    <w:r w:rsidR="00D73E69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Ηράκλειο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E6DD859" wp14:editId="3AB49031">
          <wp:simplePos x="0" y="0"/>
          <wp:positionH relativeFrom="column">
            <wp:posOffset>5992656</wp:posOffset>
          </wp:positionH>
          <wp:positionV relativeFrom="paragraph">
            <wp:posOffset>-295275</wp:posOffset>
          </wp:positionV>
          <wp:extent cx="915556" cy="843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556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D13A41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2049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8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2020041823">
    <w:abstractNumId w:val="6"/>
  </w:num>
  <w:num w:numId="9" w16cid:durableId="1749035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01E2C"/>
    <w:rsid w:val="00011268"/>
    <w:rsid w:val="000138AA"/>
    <w:rsid w:val="0009109B"/>
    <w:rsid w:val="000D5A02"/>
    <w:rsid w:val="000E2973"/>
    <w:rsid w:val="000E5D8A"/>
    <w:rsid w:val="000F4277"/>
    <w:rsid w:val="00101F11"/>
    <w:rsid w:val="00110C7A"/>
    <w:rsid w:val="00122ECD"/>
    <w:rsid w:val="001D4CCA"/>
    <w:rsid w:val="001F305B"/>
    <w:rsid w:val="001F39E9"/>
    <w:rsid w:val="002040A4"/>
    <w:rsid w:val="002217DB"/>
    <w:rsid w:val="00242B97"/>
    <w:rsid w:val="00252320"/>
    <w:rsid w:val="002607D6"/>
    <w:rsid w:val="00293D6F"/>
    <w:rsid w:val="002B167D"/>
    <w:rsid w:val="002C2A99"/>
    <w:rsid w:val="002D5635"/>
    <w:rsid w:val="002D6ED8"/>
    <w:rsid w:val="002F5AD0"/>
    <w:rsid w:val="0031085A"/>
    <w:rsid w:val="00316A0E"/>
    <w:rsid w:val="00361C0D"/>
    <w:rsid w:val="003722D0"/>
    <w:rsid w:val="003765E0"/>
    <w:rsid w:val="003856CF"/>
    <w:rsid w:val="003A22CF"/>
    <w:rsid w:val="003C5C33"/>
    <w:rsid w:val="003E5D5C"/>
    <w:rsid w:val="00402E38"/>
    <w:rsid w:val="004205EE"/>
    <w:rsid w:val="00441E05"/>
    <w:rsid w:val="00443E9D"/>
    <w:rsid w:val="00494626"/>
    <w:rsid w:val="004C2CE5"/>
    <w:rsid w:val="004E5FD4"/>
    <w:rsid w:val="00517908"/>
    <w:rsid w:val="005541D7"/>
    <w:rsid w:val="005758E9"/>
    <w:rsid w:val="00587B27"/>
    <w:rsid w:val="005F172F"/>
    <w:rsid w:val="005F5406"/>
    <w:rsid w:val="005F7F62"/>
    <w:rsid w:val="006365D9"/>
    <w:rsid w:val="00647C6A"/>
    <w:rsid w:val="00650052"/>
    <w:rsid w:val="00664A83"/>
    <w:rsid w:val="006657B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7C6FEA"/>
    <w:rsid w:val="00817B7E"/>
    <w:rsid w:val="00827309"/>
    <w:rsid w:val="00841F17"/>
    <w:rsid w:val="0085158E"/>
    <w:rsid w:val="008603CD"/>
    <w:rsid w:val="008A4A40"/>
    <w:rsid w:val="008A62EB"/>
    <w:rsid w:val="008A6C3F"/>
    <w:rsid w:val="008E474E"/>
    <w:rsid w:val="008F1938"/>
    <w:rsid w:val="009139ED"/>
    <w:rsid w:val="009274B0"/>
    <w:rsid w:val="00932D7A"/>
    <w:rsid w:val="009404D6"/>
    <w:rsid w:val="009700DE"/>
    <w:rsid w:val="009813FA"/>
    <w:rsid w:val="00984C82"/>
    <w:rsid w:val="009D1682"/>
    <w:rsid w:val="009E07D5"/>
    <w:rsid w:val="00A01840"/>
    <w:rsid w:val="00A372CB"/>
    <w:rsid w:val="00A56D23"/>
    <w:rsid w:val="00AB09DC"/>
    <w:rsid w:val="00AB283F"/>
    <w:rsid w:val="00AC04BB"/>
    <w:rsid w:val="00AD639F"/>
    <w:rsid w:val="00AE29EA"/>
    <w:rsid w:val="00AF58FA"/>
    <w:rsid w:val="00B05B76"/>
    <w:rsid w:val="00B061C1"/>
    <w:rsid w:val="00B13061"/>
    <w:rsid w:val="00B23F76"/>
    <w:rsid w:val="00B31958"/>
    <w:rsid w:val="00B53B81"/>
    <w:rsid w:val="00BB2E8B"/>
    <w:rsid w:val="00BC5B47"/>
    <w:rsid w:val="00BF3E0E"/>
    <w:rsid w:val="00C07BFC"/>
    <w:rsid w:val="00C12A5A"/>
    <w:rsid w:val="00C32AA5"/>
    <w:rsid w:val="00C33939"/>
    <w:rsid w:val="00C74977"/>
    <w:rsid w:val="00C806B3"/>
    <w:rsid w:val="00CA6F9A"/>
    <w:rsid w:val="00CC27DC"/>
    <w:rsid w:val="00CC67EF"/>
    <w:rsid w:val="00CE6F6B"/>
    <w:rsid w:val="00CF492B"/>
    <w:rsid w:val="00CF64C8"/>
    <w:rsid w:val="00D13A41"/>
    <w:rsid w:val="00D349EE"/>
    <w:rsid w:val="00D42515"/>
    <w:rsid w:val="00D45473"/>
    <w:rsid w:val="00D4681C"/>
    <w:rsid w:val="00D46FAE"/>
    <w:rsid w:val="00D73B47"/>
    <w:rsid w:val="00D73E69"/>
    <w:rsid w:val="00D752DE"/>
    <w:rsid w:val="00D95307"/>
    <w:rsid w:val="00DA038E"/>
    <w:rsid w:val="00DB0FEB"/>
    <w:rsid w:val="00DB218B"/>
    <w:rsid w:val="00DD4B07"/>
    <w:rsid w:val="00DE65C5"/>
    <w:rsid w:val="00DF5D9F"/>
    <w:rsid w:val="00E0409A"/>
    <w:rsid w:val="00E15573"/>
    <w:rsid w:val="00E90396"/>
    <w:rsid w:val="00EB6A30"/>
    <w:rsid w:val="00EF0B57"/>
    <w:rsid w:val="00F14EB8"/>
    <w:rsid w:val="00F17F9F"/>
    <w:rsid w:val="00F24B11"/>
    <w:rsid w:val="00F27471"/>
    <w:rsid w:val="00F362C1"/>
    <w:rsid w:val="00F4006E"/>
    <w:rsid w:val="00F4185B"/>
    <w:rsid w:val="00F44464"/>
    <w:rsid w:val="00F826BB"/>
    <w:rsid w:val="00F92B61"/>
    <w:rsid w:val="00FC4BEF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3</cp:revision>
  <dcterms:created xsi:type="dcterms:W3CDTF">2023-01-20T10:49:00Z</dcterms:created>
  <dcterms:modified xsi:type="dcterms:W3CDTF">2023-01-20T10:54:00Z</dcterms:modified>
</cp:coreProperties>
</file>